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eastAsia"/>
          <w:lang w:val="en-US" w:eastAsia="zh-CN"/>
        </w:rPr>
      </w:pPr>
      <w:r>
        <w:rPr>
          <w:rFonts w:hint="eastAsia"/>
          <w:lang w:val="en-US" w:eastAsia="zh-CN"/>
        </w:rPr>
        <w:t xml:space="preserve"> </w:t>
      </w:r>
      <w:r>
        <w:rPr>
          <w:rFonts w:hint="eastAsia"/>
          <w:lang w:val="en-US" w:eastAsia="zh-CN"/>
        </w:rPr>
        <w:tab/>
      </w:r>
    </w:p>
    <w:p>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综合评估法采购文件</w:t>
      </w:r>
    </w:p>
    <w:p>
      <w:pPr>
        <w:pStyle w:val="3"/>
        <w:numPr>
          <w:ilvl w:val="0"/>
          <w:numId w:val="0"/>
        </w:numPr>
        <w:ind w:leftChars="0"/>
        <w:jc w:val="both"/>
        <w:rPr>
          <w:rFonts w:hint="eastAsia"/>
          <w:lang w:val="en-US" w:eastAsia="zh-CN"/>
        </w:rPr>
      </w:pPr>
    </w:p>
    <w:p>
      <w:pPr>
        <w:rPr>
          <w:rFonts w:hint="eastAsia"/>
          <w:lang w:val="en-US" w:eastAsia="zh-CN"/>
        </w:rPr>
      </w:pP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ind w:left="3607" w:leftChars="857" w:hanging="1807" w:hangingChars="500"/>
        <w:textAlignment w:val="auto"/>
        <w:rPr>
          <w:rFonts w:hint="eastAsia" w:ascii="宋体" w:hAnsi="宋体" w:eastAsia="宋体" w:cs="宋体"/>
          <w:b/>
          <w:bCs/>
          <w:color w:val="0000FF"/>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color w:val="0000FF"/>
          <w:sz w:val="36"/>
          <w:szCs w:val="36"/>
          <w:u w:val="single"/>
          <w:lang w:val="en-US" w:eastAsia="zh-CN"/>
        </w:rPr>
        <w:t>钦州跨境贸易电子商务产业园二期配套项目首批</w:t>
      </w:r>
    </w:p>
    <w:p>
      <w:pPr>
        <w:keepNext w:val="0"/>
        <w:keepLines w:val="0"/>
        <w:pageBreakBefore w:val="0"/>
        <w:widowControl w:val="0"/>
        <w:kinsoku/>
        <w:wordWrap/>
        <w:overflowPunct/>
        <w:topLinePunct w:val="0"/>
        <w:autoSpaceDE/>
        <w:autoSpaceDN/>
        <w:bidi w:val="0"/>
        <w:adjustRightInd/>
        <w:snapToGrid/>
        <w:ind w:left="3595" w:leftChars="1712" w:firstLine="0" w:firstLineChars="0"/>
        <w:textAlignment w:val="auto"/>
        <w:rPr>
          <w:rFonts w:hint="default" w:ascii="宋体" w:hAnsi="宋体" w:eastAsia="宋体" w:cs="宋体"/>
          <w:b/>
          <w:bCs/>
          <w:color w:val="0000FF"/>
          <w:sz w:val="36"/>
          <w:szCs w:val="36"/>
          <w:u w:val="single"/>
          <w:lang w:val="en-US" w:eastAsia="zh-CN"/>
        </w:rPr>
      </w:pPr>
      <w:r>
        <w:rPr>
          <w:rFonts w:hint="eastAsia" w:ascii="宋体" w:hAnsi="宋体" w:eastAsia="宋体" w:cs="宋体"/>
          <w:b/>
          <w:bCs/>
          <w:color w:val="0000FF"/>
          <w:sz w:val="36"/>
          <w:szCs w:val="36"/>
          <w:u w:val="single"/>
          <w:lang w:val="en-US" w:eastAsia="zh-CN"/>
        </w:rPr>
        <w:t>公寓租赁配套设施家电采购</w:t>
      </w:r>
    </w:p>
    <w:p>
      <w:pPr>
        <w:ind w:left="3602" w:leftChars="855" w:hanging="1807" w:hangingChars="500"/>
        <w:rPr>
          <w:rFonts w:hint="eastAsia" w:ascii="宋体" w:hAnsi="宋体" w:eastAsia="宋体" w:cs="宋体"/>
          <w:b/>
          <w:bCs/>
          <w:color w:val="0000FF"/>
          <w:sz w:val="36"/>
          <w:szCs w:val="36"/>
          <w:u w:val="single"/>
          <w:lang w:val="en-US" w:eastAsia="zh-CN"/>
        </w:rPr>
      </w:pPr>
      <w:r>
        <w:rPr>
          <w:rFonts w:hint="eastAsia" w:ascii="宋体" w:hAnsi="宋体" w:eastAsia="宋体" w:cs="宋体"/>
          <w:b/>
          <w:bCs/>
          <w:sz w:val="36"/>
          <w:szCs w:val="36"/>
          <w:lang w:val="en-US" w:eastAsia="zh-CN"/>
        </w:rPr>
        <w:t>采 购 人：</w:t>
      </w:r>
      <w:r>
        <w:rPr>
          <w:rFonts w:hint="eastAsia" w:ascii="宋体" w:hAnsi="宋体" w:eastAsia="宋体" w:cs="宋体"/>
          <w:b/>
          <w:bCs/>
          <w:color w:val="0000FF"/>
          <w:sz w:val="36"/>
          <w:szCs w:val="36"/>
          <w:u w:val="single"/>
          <w:lang w:val="en-US" w:eastAsia="zh-CN"/>
        </w:rPr>
        <w:t>广西自贸区钦州港区开发投资集团有限责任公司</w:t>
      </w:r>
    </w:p>
    <w:p>
      <w:pPr>
        <w:rPr>
          <w:rFonts w:hint="eastAsia" w:ascii="宋体" w:hAnsi="宋体" w:eastAsia="宋体" w:cs="宋体"/>
          <w:b/>
          <w:bCs/>
          <w:sz w:val="36"/>
          <w:szCs w:val="36"/>
          <w:lang w:val="en-US" w:eastAsia="zh-CN"/>
        </w:rPr>
      </w:pPr>
    </w:p>
    <w:p>
      <w:pPr>
        <w:rPr>
          <w:rFonts w:hint="eastAsia" w:ascii="宋体" w:hAnsi="宋体" w:eastAsia="宋体" w:cs="宋体"/>
          <w:b/>
          <w:bCs/>
          <w:sz w:val="36"/>
          <w:szCs w:val="36"/>
          <w:lang w:val="en-US" w:eastAsia="zh-CN"/>
        </w:rPr>
      </w:pPr>
    </w:p>
    <w:p>
      <w:pPr>
        <w:jc w:val="center"/>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2024年1月</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Chars="0" w:right="0" w:rightChars="0"/>
        <w:jc w:val="both"/>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pPr>
        <w:pStyle w:val="41"/>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第一章  采购公告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kern w:val="2"/>
          <w:sz w:val="24"/>
          <w:szCs w:val="24"/>
          <w:lang w:val="en-US" w:eastAsia="zh-CN" w:bidi="ar-SA"/>
        </w:rPr>
        <w:t>钦州跨境贸易电子商务产业园二期配套项目首批公寓租赁配套设施家电采购项目的潜在供应商应在广西自贸区钦州港片区开发投资集团有限责任公司网站</w:t>
      </w:r>
      <w:r>
        <w:rPr>
          <w:rFonts w:hint="eastAsia" w:ascii="宋体" w:hAnsi="宋体" w:eastAsia="宋体" w:cs="宋体"/>
          <w:b w:val="0"/>
          <w:bCs/>
          <w:kern w:val="2"/>
          <w:sz w:val="24"/>
          <w:szCs w:val="24"/>
          <w:lang w:val="en-US" w:eastAsia="zh-CN" w:bidi="ar-SA"/>
        </w:rPr>
        <w:fldChar w:fldCharType="begin"/>
      </w:r>
      <w:r>
        <w:rPr>
          <w:rFonts w:hint="eastAsia" w:ascii="宋体" w:hAnsi="宋体" w:eastAsia="宋体" w:cs="宋体"/>
          <w:b w:val="0"/>
          <w:bCs/>
          <w:kern w:val="2"/>
          <w:sz w:val="24"/>
          <w:szCs w:val="24"/>
          <w:lang w:val="en-US" w:eastAsia="zh-CN" w:bidi="ar-SA"/>
        </w:rPr>
        <w:instrText xml:space="preserve"> HYPERLINK "http://www.qbtzjt.com" </w:instrText>
      </w:r>
      <w:r>
        <w:rPr>
          <w:rFonts w:hint="eastAsia" w:ascii="宋体" w:hAnsi="宋体" w:eastAsia="宋体" w:cs="宋体"/>
          <w:b w:val="0"/>
          <w:bCs/>
          <w:kern w:val="2"/>
          <w:sz w:val="24"/>
          <w:szCs w:val="24"/>
          <w:lang w:val="en-US" w:eastAsia="zh-CN" w:bidi="ar-SA"/>
        </w:rPr>
        <w:fldChar w:fldCharType="separate"/>
      </w:r>
      <w:r>
        <w:rPr>
          <w:rFonts w:hint="eastAsia" w:ascii="宋体" w:hAnsi="宋体" w:eastAsia="宋体" w:cs="宋体"/>
          <w:b w:val="0"/>
          <w:bCs/>
          <w:kern w:val="2"/>
          <w:sz w:val="24"/>
          <w:szCs w:val="24"/>
          <w:lang w:val="en-US" w:eastAsia="zh-CN" w:bidi="ar-SA"/>
        </w:rPr>
        <w:t>http://www.qbtzjt.com</w:t>
      </w:r>
      <w:r>
        <w:rPr>
          <w:rFonts w:hint="eastAsia" w:ascii="宋体" w:hAnsi="宋体" w:eastAsia="宋体" w:cs="宋体"/>
          <w:b w:val="0"/>
          <w:bCs/>
          <w:kern w:val="2"/>
          <w:sz w:val="24"/>
          <w:szCs w:val="24"/>
          <w:lang w:val="en-US" w:eastAsia="zh-CN" w:bidi="ar-SA"/>
        </w:rPr>
        <w:fldChar w:fldCharType="end"/>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2024年1月16 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lang w:val="en-US" w:eastAsia="zh-CN"/>
        </w:rPr>
        <w:t>项目名称：</w:t>
      </w:r>
      <w:r>
        <w:rPr>
          <w:rFonts w:hint="eastAsia" w:ascii="宋体" w:hAnsi="宋体" w:eastAsia="宋体" w:cs="宋体"/>
          <w:b w:val="0"/>
          <w:bCs/>
          <w:kern w:val="2"/>
          <w:sz w:val="24"/>
          <w:szCs w:val="24"/>
          <w:lang w:val="en-US" w:eastAsia="zh-CN" w:bidi="ar-SA"/>
        </w:rPr>
        <w:t>钦州跨境贸易电子商务产业园二期配套项目首批公寓租赁配套设施家电采购</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的供应商为成交候选供应商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采购需求：见附件：钦州跨境贸易电子商务产业园二期配套项目首批公寓租赁配套设施家电采购清单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auto"/>
          <w:sz w:val="24"/>
          <w:szCs w:val="24"/>
          <w:u w:val="none"/>
          <w:lang w:val="en-US" w:eastAsia="zh-CN"/>
        </w:rPr>
      </w:pPr>
      <w:r>
        <w:rPr>
          <w:rFonts w:hint="eastAsia" w:ascii="宋体" w:hAnsi="宋体" w:eastAsia="宋体" w:cs="宋体"/>
          <w:b w:val="0"/>
          <w:bCs/>
          <w:sz w:val="24"/>
          <w:szCs w:val="24"/>
          <w:lang w:val="en-US" w:eastAsia="zh-CN"/>
        </w:rPr>
        <w:t>合同履行期限：</w:t>
      </w:r>
      <w:r>
        <w:rPr>
          <w:rFonts w:hint="eastAsia" w:ascii="宋体" w:hAnsi="宋体" w:eastAsia="宋体" w:cs="宋体"/>
          <w:bCs/>
          <w:color w:val="auto"/>
          <w:sz w:val="24"/>
          <w:szCs w:val="24"/>
          <w:highlight w:val="none"/>
          <w:u w:val="none"/>
        </w:rPr>
        <w:t>自签订合同之日起</w:t>
      </w:r>
      <w:r>
        <w:rPr>
          <w:rFonts w:hint="eastAsia" w:ascii="宋体" w:hAnsi="宋体" w:eastAsia="宋体" w:cs="宋体"/>
          <w:bCs/>
          <w:color w:val="auto"/>
          <w:sz w:val="24"/>
          <w:szCs w:val="24"/>
          <w:highlight w:val="none"/>
          <w:u w:val="none"/>
          <w:lang w:val="en-US" w:eastAsia="zh-CN"/>
        </w:rPr>
        <w:t>10</w:t>
      </w:r>
      <w:r>
        <w:rPr>
          <w:rFonts w:hint="default" w:ascii="宋体" w:hAnsi="宋体" w:eastAsia="宋体" w:cs="宋体"/>
          <w:bCs/>
          <w:color w:val="auto"/>
          <w:sz w:val="24"/>
          <w:szCs w:val="24"/>
          <w:highlight w:val="none"/>
          <w:u w:val="none"/>
        </w:rPr>
        <w:t>天</w:t>
      </w:r>
      <w:r>
        <w:rPr>
          <w:rFonts w:hint="eastAsia" w:ascii="宋体" w:hAnsi="宋体" w:eastAsia="宋体" w:cs="宋体"/>
          <w:bCs/>
          <w:color w:val="auto"/>
          <w:sz w:val="24"/>
          <w:szCs w:val="24"/>
          <w:highlight w:val="none"/>
          <w:u w:val="none"/>
          <w:lang w:val="en-US" w:eastAsia="zh-CN"/>
        </w:rPr>
        <w:t>内需送达货物</w:t>
      </w:r>
      <w:r>
        <w:rPr>
          <w:rFonts w:hint="eastAsia" w:ascii="宋体" w:hAnsi="宋体" w:eastAsia="宋体" w:cs="宋体"/>
          <w:b w:val="0"/>
          <w:bCs/>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color w:val="417FF9"/>
          <w:sz w:val="24"/>
          <w:szCs w:val="24"/>
          <w:u w:val="single"/>
          <w:lang w:val="en-US" w:eastAsia="zh-CN"/>
        </w:rPr>
      </w:pPr>
      <w:r>
        <w:rPr>
          <w:rFonts w:hint="eastAsia" w:ascii="宋体" w:hAnsi="宋体" w:eastAsia="宋体" w:cs="宋体"/>
          <w:b w:val="0"/>
          <w:bCs/>
          <w:color w:val="auto"/>
          <w:sz w:val="24"/>
          <w:szCs w:val="24"/>
          <w:u w:val="none"/>
          <w:lang w:val="en-US" w:eastAsia="zh-CN"/>
        </w:rPr>
        <w:t>最高</w:t>
      </w:r>
      <w:r>
        <w:rPr>
          <w:rFonts w:hint="default" w:ascii="宋体" w:hAnsi="宋体" w:eastAsia="宋体" w:cs="宋体"/>
          <w:b w:val="0"/>
          <w:bCs/>
          <w:color w:val="auto"/>
          <w:sz w:val="24"/>
          <w:szCs w:val="24"/>
          <w:u w:val="none"/>
          <w:lang w:eastAsia="zh-CN"/>
        </w:rPr>
        <w:t>上限</w:t>
      </w:r>
      <w:r>
        <w:rPr>
          <w:rFonts w:hint="eastAsia" w:ascii="宋体" w:hAnsi="宋体" w:eastAsia="宋体" w:cs="宋体"/>
          <w:b w:val="0"/>
          <w:bCs/>
          <w:color w:val="auto"/>
          <w:sz w:val="24"/>
          <w:szCs w:val="24"/>
          <w:u w:val="none"/>
          <w:lang w:val="en-US" w:eastAsia="zh-CN"/>
        </w:rPr>
        <w:t>价（人民币）：353351元</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本项目不接受联合体。</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1.国内注册（指按国家有关规定要求注册），依法能提供本次采购货物的供应商；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2.具有独立承担民事责任的能力；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3.具有良好的商业信誉和履行合同所必需的设备和专业技术能力；</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5.法律、行政法规规定的其他条件。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6.本项目的特定资格要求：无</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2024年1月10日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2023年1 月16日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sz w:val="24"/>
          <w:szCs w:val="24"/>
          <w:u w:val="single"/>
          <w:lang w:val="en-US" w:eastAsia="zh-CN"/>
        </w:rPr>
        <w:fldChar w:fldCharType="begin"/>
      </w:r>
      <w:r>
        <w:rPr>
          <w:rFonts w:hint="eastAsia" w:ascii="宋体" w:hAnsi="宋体" w:eastAsia="宋体" w:cs="宋体"/>
          <w:b w:val="0"/>
          <w:bCs/>
          <w:sz w:val="24"/>
          <w:szCs w:val="24"/>
          <w:u w:val="single"/>
          <w:lang w:val="en-US" w:eastAsia="zh-CN"/>
        </w:rPr>
        <w:instrText xml:space="preserve"> HYPERLINK "http://www.qbtzjt.com" </w:instrText>
      </w:r>
      <w:r>
        <w:rPr>
          <w:rFonts w:hint="eastAsia" w:ascii="宋体" w:hAnsi="宋体" w:eastAsia="宋体" w:cs="宋体"/>
          <w:b w:val="0"/>
          <w:bCs/>
          <w:sz w:val="24"/>
          <w:szCs w:val="24"/>
          <w:u w:val="single"/>
          <w:lang w:val="en-US" w:eastAsia="zh-CN"/>
        </w:rPr>
        <w:fldChar w:fldCharType="separate"/>
      </w:r>
      <w:r>
        <w:rPr>
          <w:rStyle w:val="26"/>
          <w:rFonts w:hint="eastAsia" w:ascii="宋体" w:hAnsi="宋体" w:eastAsia="宋体" w:cs="宋体"/>
          <w:b w:val="0"/>
          <w:bCs/>
          <w:sz w:val="24"/>
          <w:szCs w:val="24"/>
          <w:lang w:val="en-US" w:eastAsia="zh-CN"/>
        </w:rPr>
        <w:t>http：//www.qbtzjt.com</w:t>
      </w:r>
      <w:r>
        <w:rPr>
          <w:rFonts w:hint="eastAsia" w:ascii="宋体" w:hAnsi="宋体" w:eastAsia="宋体" w:cs="宋体"/>
          <w:b w:val="0"/>
          <w:bCs/>
          <w:sz w:val="24"/>
          <w:szCs w:val="24"/>
          <w:u w:val="single"/>
          <w:lang w:val="en-US" w:eastAsia="zh-CN"/>
        </w:rPr>
        <w:fldChar w:fldCharType="end"/>
      </w:r>
      <w:r>
        <w:rPr>
          <w:rFonts w:hint="eastAsia" w:ascii="宋体" w:hAnsi="宋体" w:eastAsia="宋体" w:cs="宋体"/>
          <w:b w:val="0"/>
          <w:bCs/>
          <w:sz w:val="24"/>
          <w:szCs w:val="24"/>
          <w:u w:val="single"/>
          <w:lang w:val="en-US" w:eastAsia="zh-CN"/>
        </w:rPr>
        <w:t>获取（下载）。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 xml:space="preserve"> 2024年 1 月 16日17时30分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2024年1月16日17时30分</w:t>
      </w:r>
      <w:r>
        <w:rPr>
          <w:rFonts w:hint="eastAsia" w:ascii="宋体" w:hAnsi="宋体" w:eastAsia="宋体" w:cs="宋体"/>
          <w:b w:val="0"/>
          <w:bCs/>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提交响应文件地点：广西钦州市保税港区二号路自贸中心23楼风控审计部，联系人及电话：</w:t>
      </w:r>
      <w:r>
        <w:rPr>
          <w:rFonts w:hint="eastAsia" w:ascii="宋体" w:hAnsi="宋体" w:eastAsia="宋体" w:cs="宋体"/>
          <w:b w:val="0"/>
          <w:bCs/>
          <w:sz w:val="24"/>
          <w:szCs w:val="24"/>
          <w:u w:val="single"/>
          <w:lang w:val="en-US" w:eastAsia="zh-CN"/>
        </w:rPr>
        <w:t>黄全炳07775881380</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2024年1月17日9时30分</w:t>
      </w:r>
      <w:r>
        <w:rPr>
          <w:rFonts w:hint="eastAsia" w:ascii="宋体" w:hAnsi="宋体" w:eastAsia="宋体" w:cs="宋体"/>
          <w:b w:val="0"/>
          <w:bCs/>
          <w:sz w:val="24"/>
          <w:szCs w:val="24"/>
          <w:lang w:val="en-US" w:eastAsia="zh-CN"/>
        </w:rPr>
        <w:t>（北京时间）后；</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地点：广西钦州市保税港区二号路自贸中心23楼</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5个工作日</w:t>
      </w:r>
      <w:r>
        <w:rPr>
          <w:rFonts w:hint="eastAsia" w:ascii="宋体" w:hAnsi="宋体" w:eastAsia="宋体" w:cs="宋体"/>
          <w:b w:val="0"/>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bookmarkStart w:id="21" w:name="_GoBack"/>
      <w:bookmarkEnd w:id="21"/>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vertAlign w:val="baseline"/>
        </w:rPr>
        <w:t>1.采购人信息</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shd w:val="clear" w:fill="FFFFFF"/>
          <w:vertAlign w:val="baseline"/>
        </w:rPr>
        <w:t>名称：</w:t>
      </w:r>
      <w:r>
        <w:rPr>
          <w:rFonts w:hint="eastAsia" w:ascii="宋体" w:hAnsi="宋体" w:eastAsia="宋体" w:cs="宋体"/>
          <w:b w:val="0"/>
          <w:bCs/>
          <w:sz w:val="24"/>
          <w:szCs w:val="24"/>
          <w:u w:val="single"/>
          <w:lang w:val="en-US" w:eastAsia="zh-CN"/>
        </w:rPr>
        <w:t>广西自贸区钦州港区开发投资集团有限责任公司</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default" w:ascii="宋体" w:hAnsi="宋体" w:eastAsia="宋体" w:cs="宋体"/>
          <w:b w:val="0"/>
          <w:bCs/>
          <w:sz w:val="24"/>
          <w:szCs w:val="24"/>
          <w:u w:val="single"/>
          <w:lang w:val="en-US" w:eastAsia="zh-CN"/>
        </w:rPr>
      </w:pPr>
      <w:r>
        <w:rPr>
          <w:rFonts w:hint="eastAsia" w:ascii="微软雅黑" w:hAnsi="微软雅黑" w:eastAsia="微软雅黑" w:cs="微软雅黑"/>
          <w:i w:val="0"/>
          <w:iCs w:val="0"/>
          <w:caps w:val="0"/>
          <w:color w:val="333333"/>
          <w:spacing w:val="0"/>
          <w:sz w:val="24"/>
          <w:szCs w:val="24"/>
          <w:shd w:val="clear" w:fill="FFFFFF"/>
          <w:vertAlign w:val="baseline"/>
        </w:rPr>
        <w:t>地址：</w:t>
      </w:r>
      <w:r>
        <w:rPr>
          <w:rFonts w:hint="eastAsia" w:ascii="宋体" w:hAnsi="宋体" w:eastAsia="宋体" w:cs="宋体"/>
          <w:b w:val="0"/>
          <w:bCs/>
          <w:sz w:val="24"/>
          <w:szCs w:val="24"/>
          <w:u w:val="single"/>
          <w:lang w:val="en-US" w:eastAsia="zh-CN"/>
        </w:rPr>
        <w:t>广西钦州市保税港区二号路自贸中心23楼</w:t>
      </w:r>
    </w:p>
    <w:p>
      <w:pPr>
        <w:pStyle w:val="20"/>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26" w:lineRule="atLeast"/>
        <w:ind w:left="0" w:right="0" w:firstLine="0"/>
        <w:textAlignment w:val="baseline"/>
        <w:rPr>
          <w:rFonts w:hint="default" w:ascii="微软雅黑" w:hAnsi="微软雅黑" w:eastAsia="微软雅黑" w:cs="微软雅黑"/>
          <w:i w:val="0"/>
          <w:iCs w:val="0"/>
          <w:caps w:val="0"/>
          <w:color w:val="333333"/>
          <w:spacing w:val="0"/>
          <w:sz w:val="24"/>
          <w:szCs w:val="24"/>
          <w:lang w:val="en-US" w:eastAsia="zh-CN"/>
        </w:rPr>
      </w:pPr>
      <w:r>
        <w:rPr>
          <w:rFonts w:hint="eastAsia" w:ascii="微软雅黑" w:hAnsi="微软雅黑" w:eastAsia="微软雅黑" w:cs="微软雅黑"/>
          <w:i w:val="0"/>
          <w:iCs w:val="0"/>
          <w:caps w:val="0"/>
          <w:color w:val="333333"/>
          <w:spacing w:val="0"/>
          <w:sz w:val="24"/>
          <w:szCs w:val="24"/>
          <w:shd w:val="clear" w:fill="FFFFFF"/>
          <w:vertAlign w:val="baseline"/>
        </w:rPr>
        <w:t>联系方式：</w:t>
      </w:r>
      <w:r>
        <w:rPr>
          <w:rFonts w:hint="eastAsia" w:ascii="宋体" w:hAnsi="宋体" w:eastAsia="宋体" w:cs="宋体"/>
          <w:b w:val="0"/>
          <w:bCs/>
          <w:sz w:val="24"/>
          <w:szCs w:val="24"/>
          <w:u w:val="single"/>
          <w:lang w:val="en-US" w:eastAsia="zh-CN"/>
        </w:rPr>
        <w:t>19177753366</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广西自贸区钦州港区开发投资集团有限责任公司风控审计部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广西钦州市保税港区二号路自贸中心23、24楼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07775881380（风控-黄全炳）</w:t>
      </w:r>
    </w:p>
    <w:p>
      <w:pPr>
        <w:jc w:val="left"/>
        <w:rPr>
          <w:rFonts w:hint="eastAsia" w:ascii="宋体" w:hAnsi="宋体" w:eastAsia="宋体" w:cs="宋体"/>
          <w:b/>
          <w:bCs/>
          <w:sz w:val="36"/>
          <w:szCs w:val="36"/>
          <w:lang w:val="en-US" w:eastAsia="zh-CN"/>
        </w:rPr>
      </w:pPr>
    </w:p>
    <w:p>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pPr>
        <w:pStyle w:val="41"/>
        <w:rPr>
          <w:rFonts w:hint="default" w:cs="宋体"/>
          <w:lang w:val="en-US" w:eastAsia="zh-CN"/>
        </w:rPr>
      </w:pPr>
      <w:r>
        <w:rPr>
          <w:rFonts w:hint="eastAsia" w:ascii="宋体" w:hAnsi="宋体" w:eastAsia="宋体" w:cs="宋体"/>
          <w:lang w:val="en-US" w:eastAsia="zh-CN"/>
        </w:rPr>
        <w:t>第二章</w:t>
      </w:r>
      <w:r>
        <w:rPr>
          <w:rFonts w:hint="eastAsia" w:cs="宋体"/>
          <w:lang w:val="en-US" w:eastAsia="zh-CN"/>
        </w:rPr>
        <w:t xml:space="preserve">  采购需求</w:t>
      </w:r>
    </w:p>
    <w:p>
      <w:pPr>
        <w:pStyle w:val="43"/>
        <w:rPr>
          <w:rFonts w:hint="eastAsia"/>
          <w:color w:val="auto"/>
          <w:lang w:val="en-US" w:eastAsia="zh-CN"/>
        </w:rPr>
      </w:pPr>
      <w:r>
        <w:rPr>
          <w:rFonts w:hint="eastAsia"/>
          <w:color w:val="auto"/>
          <w:lang w:val="en-US" w:eastAsia="zh-CN"/>
        </w:rPr>
        <w:t>1.采购标的</w:t>
      </w:r>
    </w:p>
    <w:tbl>
      <w:tblPr>
        <w:tblStyle w:val="23"/>
        <w:tblW w:w="122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98"/>
        <w:gridCol w:w="1518"/>
        <w:gridCol w:w="6762"/>
        <w:gridCol w:w="1566"/>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6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型号及参数</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空调插座</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开关插座嵌入式插座可调节空调冰箱隐藏插座白色三孔16A，含安装</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6"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电视机</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55寸液晶电视，智能联网</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洗衣机</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家用波轮洗衣机8公斤+出水口阀安装</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 </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8"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冰箱</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216升三门冰箱</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变频冷暖挂机</w:t>
            </w:r>
          </w:p>
        </w:tc>
        <w:tc>
          <w:tcPr>
            <w:tcW w:w="6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1.匹数：1.5匹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2.变频挂机、冷暖型</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3.全年能源消耗效率APF≥4.29</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4.制冷量（W）3510（200~4200）；制冷功效（w）975（80~1550）；制冷剂R32</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5.制热量（w）4650（200~5720）；制热功率（w）1300（80~1920）</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6.具有电辅加热功能，功率1050w；支持220V~/50HZ电压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r>
              <w:rPr>
                <w:rFonts w:hint="default" w:ascii="宋体" w:hAnsi="宋体" w:eastAsia="宋体" w:cs="宋体"/>
                <w:i w:val="0"/>
                <w:iCs w:val="0"/>
                <w:color w:val="000000"/>
                <w:kern w:val="0"/>
                <w:sz w:val="24"/>
                <w:szCs w:val="24"/>
                <w:u w:val="none"/>
                <w:lang w:val="en-US" w:eastAsia="zh-CN" w:bidi="ar"/>
              </w:rPr>
              <w:t>循环风量（m³/h)</w:t>
            </w:r>
            <w:r>
              <w:rPr>
                <w:rFonts w:hint="eastAsia" w:ascii="宋体" w:hAnsi="宋体" w:eastAsia="宋体" w:cs="宋体"/>
                <w:i w:val="0"/>
                <w:iCs w:val="0"/>
                <w:color w:val="000000"/>
                <w:kern w:val="0"/>
                <w:sz w:val="24"/>
                <w:szCs w:val="24"/>
                <w:u w:val="none"/>
                <w:lang w:val="en-US" w:eastAsia="zh-CN" w:bidi="ar"/>
              </w:rPr>
              <w:t>：650</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8.不锈钢支架安装</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9.三级（含）及以上等级能效</w:t>
            </w:r>
          </w:p>
        </w:tc>
        <w:tc>
          <w:tcPr>
            <w:tcW w:w="15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50</w:t>
            </w:r>
          </w:p>
        </w:tc>
        <w:tc>
          <w:tcPr>
            <w:tcW w:w="1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r>
    </w:tbl>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color w:val="auto"/>
          <w:sz w:val="24"/>
          <w:szCs w:val="24"/>
          <w:lang w:val="en-US" w:eastAsia="zh-CN" w:bidi="zh-CN"/>
        </w:rPr>
      </w:pPr>
    </w:p>
    <w:p>
      <w:pPr>
        <w:pStyle w:val="41"/>
        <w:ind w:firstLine="0" w:firstLineChars="0"/>
        <w:jc w:val="both"/>
        <w:rPr>
          <w:rFonts w:hint="eastAsia"/>
          <w:lang w:val="en-US" w:eastAsia="zh-CN"/>
        </w:rPr>
      </w:pPr>
    </w:p>
    <w:p>
      <w:pPr>
        <w:pStyle w:val="41"/>
        <w:ind w:firstLine="0" w:firstLineChars="0"/>
        <w:jc w:val="both"/>
        <w:rPr>
          <w:rFonts w:hint="eastAsia"/>
          <w:lang w:val="en-US" w:eastAsia="zh-CN"/>
        </w:rPr>
      </w:pPr>
    </w:p>
    <w:p>
      <w:pPr>
        <w:pStyle w:val="41"/>
        <w:ind w:firstLine="0" w:firstLineChars="0"/>
        <w:jc w:val="center"/>
        <w:rPr>
          <w:rFonts w:hint="eastAsia"/>
          <w:lang w:val="en-US" w:eastAsia="zh-CN"/>
        </w:rPr>
      </w:pPr>
    </w:p>
    <w:p>
      <w:pPr>
        <w:pStyle w:val="41"/>
        <w:ind w:firstLine="0" w:firstLineChars="0"/>
        <w:jc w:val="center"/>
        <w:rPr>
          <w:rFonts w:hint="eastAsia" w:ascii="宋体" w:hAnsi="宋体" w:eastAsia="宋体" w:cs="宋体"/>
          <w:b/>
          <w:bCs/>
          <w:sz w:val="28"/>
          <w:szCs w:val="28"/>
          <w:lang w:val="en-US" w:eastAsia="zh-CN" w:bidi="zh-CN"/>
        </w:rPr>
      </w:pPr>
      <w:r>
        <w:rPr>
          <w:rFonts w:hint="eastAsia"/>
          <w:lang w:val="en-US" w:eastAsia="zh-CN"/>
        </w:rPr>
        <w:t>第三章  供应商须知</w:t>
      </w:r>
      <w:r>
        <w:rPr>
          <w:rFonts w:hint="eastAsia" w:ascii="宋体" w:hAnsi="宋体" w:eastAsia="宋体" w:cs="宋体"/>
          <w:lang w:val="en-US" w:eastAsia="zh-CN"/>
        </w:rPr>
        <w:br w:type="page"/>
      </w:r>
      <w:r>
        <w:rPr>
          <w:rFonts w:hint="eastAsia"/>
          <w:lang w:val="en-US" w:eastAsia="zh-CN"/>
        </w:rPr>
        <w:t>一、</w:t>
      </w:r>
      <w:r>
        <w:rPr>
          <w:rFonts w:hint="eastAsia" w:ascii="宋体" w:hAnsi="宋体" w:eastAsia="宋体" w:cs="宋体"/>
          <w:b/>
          <w:bCs/>
          <w:sz w:val="28"/>
          <w:szCs w:val="28"/>
          <w:lang w:val="en-US" w:eastAsia="zh-CN" w:bidi="zh-CN"/>
        </w:rPr>
        <w:t>总则</w:t>
      </w:r>
    </w:p>
    <w:p>
      <w:pPr>
        <w:pStyle w:val="43"/>
        <w:rPr>
          <w:rFonts w:hint="default"/>
        </w:rPr>
      </w:pPr>
      <w:r>
        <w:rPr>
          <w:rFonts w:hint="default"/>
        </w:rPr>
        <w:t>1.项目概况</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w:t>
      </w:r>
      <w:r>
        <w:rPr>
          <w:rFonts w:hint="eastAsia" w:ascii="宋体" w:hAnsi="宋体" w:eastAsia="宋体" w:cs="宋体"/>
          <w:b w:val="0"/>
          <w:bCs/>
          <w:sz w:val="24"/>
          <w:szCs w:val="24"/>
          <w:u w:val="single"/>
          <w:lang w:val="en-US" w:eastAsia="zh-CN"/>
        </w:rPr>
        <w:t>广西自贸区钦州港区开发投资集团有限责任公司</w:t>
      </w:r>
      <w:r>
        <w:rPr>
          <w:rFonts w:hint="default" w:ascii="宋体" w:hAnsi="宋体" w:eastAsia="宋体" w:cs="宋体"/>
          <w:sz w:val="24"/>
          <w:szCs w:val="24"/>
          <w:lang w:bidi="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w:t>
      </w:r>
      <w:r>
        <w:rPr>
          <w:rFonts w:hint="eastAsia" w:ascii="宋体" w:hAnsi="宋体" w:eastAsia="宋体" w:cs="宋体"/>
          <w:b w:val="0"/>
          <w:bCs/>
          <w:kern w:val="2"/>
          <w:sz w:val="24"/>
          <w:szCs w:val="24"/>
          <w:lang w:val="en-US" w:eastAsia="zh-CN" w:bidi="ar-SA"/>
        </w:rPr>
        <w:t>钦州跨境贸易电子商务产业园二期配套项目首批公寓租赁配套设施家电采购</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w:t>
      </w:r>
      <w:r>
        <w:rPr>
          <w:rFonts w:hint="eastAsia" w:ascii="宋体" w:hAnsi="宋体" w:eastAsia="宋体" w:cs="宋体"/>
          <w:sz w:val="24"/>
          <w:szCs w:val="24"/>
          <w:lang w:val="en-US" w:bidi="zh-CN"/>
        </w:rPr>
        <w:t>自有资金</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1.6供应商：是指有能力向采购人提供符合本项目技术规格要求的货物、工程、服务的法人、其他组织和自然人。</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default" w:ascii="宋体" w:hAnsi="宋体" w:eastAsia="宋体" w:cs="宋体"/>
          <w:sz w:val="24"/>
          <w:szCs w:val="24"/>
          <w:lang w:bidi="zh-CN"/>
        </w:rPr>
        <w:fldChar w:fldCharType="begin"/>
      </w:r>
      <w:r>
        <w:rPr>
          <w:rFonts w:hint="default" w:ascii="宋体" w:hAnsi="宋体" w:eastAsia="宋体" w:cs="宋体"/>
          <w:sz w:val="24"/>
          <w:szCs w:val="24"/>
          <w:lang w:bidi="zh-CN"/>
        </w:rPr>
        <w:instrText xml:space="preserve"> HYPERLINK "http://www.qbtzjt.com" </w:instrText>
      </w:r>
      <w:r>
        <w:rPr>
          <w:rFonts w:hint="default" w:ascii="宋体" w:hAnsi="宋体" w:eastAsia="宋体" w:cs="宋体"/>
          <w:sz w:val="24"/>
          <w:szCs w:val="24"/>
          <w:lang w:bidi="zh-CN"/>
        </w:rPr>
        <w:fldChar w:fldCharType="separate"/>
      </w:r>
      <w:r>
        <w:rPr>
          <w:rStyle w:val="26"/>
          <w:rFonts w:hint="default" w:ascii="宋体" w:hAnsi="宋体" w:eastAsia="宋体" w:cs="宋体"/>
          <w:sz w:val="24"/>
          <w:szCs w:val="24"/>
          <w:lang w:bidi="zh-CN"/>
        </w:rPr>
        <w:t>http://www.qbtzjt.com</w:t>
      </w:r>
      <w:r>
        <w:rPr>
          <w:rFonts w:hint="default" w:ascii="宋体" w:hAnsi="宋体" w:eastAsia="宋体" w:cs="宋体"/>
          <w:sz w:val="24"/>
          <w:szCs w:val="24"/>
          <w:lang w:bidi="zh-CN"/>
        </w:rPr>
        <w:fldChar w:fldCharType="end"/>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default" w:ascii="宋体" w:hAnsi="宋体" w:eastAsia="宋体" w:cs="宋体"/>
          <w:sz w:val="24"/>
          <w:szCs w:val="24"/>
          <w:lang w:bidi="zh-CN"/>
        </w:rPr>
        <w:t>供应商</w:t>
      </w:r>
      <w:r>
        <w:rPr>
          <w:rFonts w:hint="default" w:ascii="宋体" w:hAnsi="宋体" w:eastAsia="宋体" w:cs="宋体"/>
          <w:b/>
          <w:bCs/>
          <w:sz w:val="24"/>
          <w:szCs w:val="28"/>
          <w:lang w:bidi="zh-CN"/>
        </w:rPr>
        <w:t>资格要求：</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default" w:ascii="宋体" w:hAnsi="宋体" w:eastAsia="宋体" w:cs="宋体"/>
          <w:sz w:val="24"/>
          <w:szCs w:val="24"/>
          <w:lang w:bidi="zh-CN"/>
        </w:rPr>
        <w:t>供应商的资格条件详见“</w:t>
      </w:r>
      <w:r>
        <w:rPr>
          <w:rFonts w:hint="eastAsia" w:ascii="宋体" w:hAnsi="宋体" w:eastAsia="宋体" w:cs="宋体"/>
          <w:sz w:val="24"/>
          <w:szCs w:val="24"/>
          <w:lang w:val="en-US" w:bidi="zh-CN"/>
        </w:rPr>
        <w:t>采购公告</w:t>
      </w:r>
      <w:r>
        <w:rPr>
          <w:rFonts w:hint="default" w:ascii="宋体" w:hAnsi="宋体" w:eastAsia="宋体" w:cs="宋体"/>
          <w:sz w:val="24"/>
          <w:szCs w:val="24"/>
          <w:lang w:bidi="zh-CN"/>
        </w:rPr>
        <w:t>”。</w:t>
      </w:r>
    </w:p>
    <w:p>
      <w:pPr>
        <w:pStyle w:val="43"/>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pPr>
        <w:pStyle w:val="43"/>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val="en-US" w:eastAsia="zh-CN" w:bidi="zh-CN"/>
        </w:rPr>
        <w:t>5</w:t>
      </w:r>
      <w:r>
        <w:rPr>
          <w:rFonts w:hint="default" w:ascii="宋体" w:hAnsi="宋体" w:eastAsia="宋体" w:cs="宋体"/>
          <w:sz w:val="24"/>
          <w:szCs w:val="24"/>
          <w:lang w:val="en-US" w:eastAsia="zh-CN" w:bidi="zh-CN"/>
        </w:rPr>
        <w:t>.</w:t>
      </w:r>
      <w:r>
        <w:rPr>
          <w:rFonts w:hint="eastAsia" w:ascii="宋体" w:hAnsi="宋体" w:eastAsia="宋体" w:cs="宋体"/>
          <w:sz w:val="24"/>
          <w:szCs w:val="24"/>
          <w:lang w:val="en-US" w:eastAsia="zh-CN" w:bidi="zh-CN"/>
        </w:rPr>
        <w:t>1</w:t>
      </w:r>
      <w:r>
        <w:rPr>
          <w:rFonts w:hint="default" w:ascii="宋体" w:hAnsi="宋体" w:eastAsia="宋体" w:cs="宋体"/>
          <w:sz w:val="24"/>
          <w:szCs w:val="24"/>
          <w:lang w:bidi="zh-CN"/>
        </w:rPr>
        <w:t>供应商</w:t>
      </w:r>
      <w:r>
        <w:rPr>
          <w:rFonts w:hint="eastAsia" w:ascii="宋体" w:hAnsi="宋体" w:eastAsia="宋体" w:cs="宋体"/>
          <w:sz w:val="24"/>
          <w:szCs w:val="24"/>
          <w:lang w:val="en-US" w:eastAsia="zh-CN" w:bidi="zh-CN"/>
        </w:rPr>
        <w:t>须知前附表规定不接受联合体竞标。</w:t>
      </w:r>
      <w:r>
        <w:rPr>
          <w:rFonts w:hint="default" w:ascii="宋体" w:hAnsi="宋体" w:eastAsia="宋体" w:cs="宋体"/>
          <w:sz w:val="24"/>
          <w:szCs w:val="24"/>
          <w:lang w:bidi="zh-CN"/>
        </w:rPr>
        <w:t>。</w:t>
      </w:r>
    </w:p>
    <w:p>
      <w:pPr>
        <w:pStyle w:val="43"/>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6.2本项目不允许违法分包。</w:t>
      </w:r>
    </w:p>
    <w:p>
      <w:pPr>
        <w:pStyle w:val="43"/>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pPr>
        <w:pStyle w:val="43"/>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pPr>
        <w:pStyle w:val="43"/>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9.1.1供应商直接或者间接从采购人或者采购代理机构处获得其他供应商的相关情况并修改其响应文件；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9.1.2供应商按照采购人或者采购代理机构的授意撤换、修改响应文件；</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9.1.3供应商之间协商报价、技术方案等响应文件的实质性内容；</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9.1.4属于同一集团、协会、商会等组织成员的供应商按照该组织要求协同参加采购活动；</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9.1.5供应商之间事先约定由某一特定供应商成交；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9.1.6供应商之间商定部分供应商放弃参加采购活动或者放弃成交；</w:t>
      </w:r>
    </w:p>
    <w:p>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9.1.7供应商与采购人或者采购代理机构之间、供应商相互之间，为谋求特定供应商成交或者排斥其他供应商的其他串通行为。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供应商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9.3.5供应商递交两份或多份内容不同的响应文件，或在一份响应文件中对同一采购项目报有两个或多个报价，且未声明哪一个有效，按采购文件规定提交备选投标方案的除外；</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9.3.6供应商不按评审委员会要求澄清、说明或补正的；</w:t>
      </w:r>
    </w:p>
    <w:p>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pPr>
        <w:pStyle w:val="43"/>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采购人员及相关人员与供应商有下列利害关系之一的，应当回避：</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参加采购活动前3年内与供应商存在劳动关系；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参加采购活动前3年内担任供应商的董事、监事；</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参加采购活动前3年内是供应商的控股股东或者实际控制人；</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与供应商的法定代表人或者负责人有夫妻、直系血亲、三代以内旁系血亲或者近姻亲关系；</w:t>
      </w:r>
    </w:p>
    <w:p>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与供应商有其他可能影响采购活动公平、公正进行的关系。</w:t>
      </w:r>
    </w:p>
    <w:p>
      <w:pPr>
        <w:numPr>
          <w:ilvl w:val="0"/>
          <w:numId w:val="0"/>
        </w:numPr>
        <w:adjustRightInd w:val="0"/>
        <w:snapToGrid w:val="0"/>
        <w:ind w:firstLine="480" w:firstLineChars="200"/>
        <w:jc w:val="left"/>
        <w:rPr>
          <w:rFonts w:hint="default"/>
          <w:lang w:val="en-US" w:eastAsia="zh-CN"/>
        </w:rPr>
      </w:pPr>
      <w:r>
        <w:rPr>
          <w:rFonts w:hint="default" w:ascii="宋体" w:hAnsi="宋体" w:eastAsia="宋体" w:cs="宋体"/>
          <w:color w:val="auto"/>
          <w:sz w:val="24"/>
          <w:szCs w:val="24"/>
          <w:lang w:val="en-US" w:eastAsia="zh-CN" w:bidi="zh-CN"/>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pStyle w:val="42"/>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pPr>
        <w:pStyle w:val="43"/>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供应商必须按照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pPr>
        <w:pStyle w:val="43"/>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pPr>
        <w:pStyle w:val="13"/>
        <w:spacing w:line="360" w:lineRule="auto"/>
        <w:rPr>
          <w:rFonts w:hint="default" w:hAnsi="宋体"/>
          <w:color w:val="auto"/>
          <w:highlight w:val="none"/>
          <w:lang w:val="en-US"/>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eastAsia" w:ascii="宋体" w:hAnsi="宋体" w:eastAsia="宋体" w:cs="宋体"/>
          <w:sz w:val="24"/>
          <w:szCs w:val="24"/>
          <w:lang w:bidi="zh-CN"/>
        </w:rPr>
        <w:t>：</w:t>
      </w:r>
      <w:r>
        <w:rPr>
          <w:rFonts w:hint="eastAsia" w:hAnsi="宋体"/>
          <w:color w:val="auto"/>
          <w:highlight w:val="none"/>
        </w:rPr>
        <w:t>一、</w:t>
      </w:r>
      <w:r>
        <w:rPr>
          <w:rFonts w:hint="eastAsia" w:hAnsi="宋体"/>
          <w:color w:val="auto"/>
          <w:highlight w:val="none"/>
          <w:lang w:val="en-US" w:eastAsia="zh-CN"/>
        </w:rPr>
        <w:t>营业执照</w:t>
      </w:r>
    </w:p>
    <w:p>
      <w:pPr>
        <w:pStyle w:val="13"/>
        <w:spacing w:line="360" w:lineRule="auto"/>
        <w:rPr>
          <w:rFonts w:hint="eastAsia" w:hAnsi="宋体"/>
          <w:color w:val="auto"/>
          <w:highlight w:val="none"/>
          <w:lang w:eastAsia="zh-CN"/>
        </w:rPr>
      </w:pPr>
      <w:r>
        <w:rPr>
          <w:rFonts w:hint="eastAsia" w:hAnsi="宋体"/>
          <w:color w:val="auto"/>
          <w:highlight w:val="none"/>
        </w:rPr>
        <w:t>二、</w:t>
      </w:r>
      <w:r>
        <w:rPr>
          <w:rFonts w:hint="eastAsia" w:hAnsi="宋体"/>
          <w:color w:val="auto"/>
          <w:highlight w:val="none"/>
          <w:lang w:val="en-US" w:eastAsia="zh-CN"/>
        </w:rPr>
        <w:t>报价</w:t>
      </w:r>
      <w:r>
        <w:rPr>
          <w:rFonts w:hint="eastAsia" w:hAnsi="宋体"/>
          <w:color w:val="auto"/>
          <w:highlight w:val="none"/>
          <w:lang w:eastAsia="zh-CN"/>
        </w:rPr>
        <w:t>文件</w:t>
      </w:r>
    </w:p>
    <w:p>
      <w:pPr>
        <w:pStyle w:val="13"/>
        <w:spacing w:line="360" w:lineRule="auto"/>
        <w:rPr>
          <w:rFonts w:hint="eastAsia" w:hAnsi="宋体" w:eastAsia="宋体"/>
          <w:color w:val="auto"/>
          <w:highlight w:val="none"/>
          <w:lang w:eastAsia="zh-CN"/>
        </w:rPr>
      </w:pPr>
      <w:r>
        <w:rPr>
          <w:rFonts w:hint="eastAsia" w:hAnsi="宋体"/>
          <w:color w:val="auto"/>
          <w:highlight w:val="none"/>
          <w:lang w:eastAsia="zh-CN"/>
        </w:rPr>
        <w:t>三、</w:t>
      </w:r>
      <w:r>
        <w:rPr>
          <w:rFonts w:hint="eastAsia" w:hAnsi="宋体"/>
          <w:color w:val="auto"/>
          <w:highlight w:val="none"/>
        </w:rPr>
        <w:t>技术文件</w:t>
      </w:r>
      <w:r>
        <w:rPr>
          <w:rFonts w:hint="eastAsia" w:hAnsi="宋体"/>
          <w:color w:val="auto"/>
          <w:highlight w:val="none"/>
          <w:lang w:eastAsia="zh-CN"/>
        </w:rPr>
        <w:t>（</w:t>
      </w:r>
      <w:r>
        <w:rPr>
          <w:rFonts w:hint="eastAsia" w:hAnsi="宋体"/>
          <w:color w:val="auto"/>
          <w:highlight w:val="none"/>
          <w:lang w:val="en-US" w:eastAsia="zh-CN"/>
        </w:rPr>
        <w:t>含技术偏离表</w:t>
      </w:r>
      <w:r>
        <w:rPr>
          <w:rFonts w:hint="eastAsia" w:hAnsi="宋体"/>
          <w:color w:val="auto"/>
          <w:highlight w:val="none"/>
          <w:lang w:eastAsia="zh-CN"/>
        </w:rPr>
        <w:t>）</w:t>
      </w:r>
    </w:p>
    <w:p>
      <w:pPr>
        <w:pStyle w:val="13"/>
        <w:spacing w:line="360" w:lineRule="auto"/>
        <w:rPr>
          <w:rFonts w:hint="eastAsia" w:hAnsi="宋体"/>
          <w:color w:val="auto"/>
          <w:highlight w:val="none"/>
          <w:lang w:val="en-US" w:eastAsia="zh-CN"/>
        </w:rPr>
      </w:pPr>
      <w:r>
        <w:rPr>
          <w:rFonts w:hint="eastAsia" w:hAnsi="宋体"/>
          <w:color w:val="auto"/>
          <w:highlight w:val="none"/>
          <w:lang w:val="en-US" w:eastAsia="zh-CN"/>
        </w:rPr>
        <w:t>四、实施方案</w:t>
      </w:r>
    </w:p>
    <w:p>
      <w:pPr>
        <w:pStyle w:val="13"/>
        <w:spacing w:line="360" w:lineRule="auto"/>
        <w:rPr>
          <w:rFonts w:hint="eastAsia" w:hAnsi="宋体"/>
          <w:color w:val="auto"/>
          <w:highlight w:val="none"/>
          <w:lang w:val="en-US" w:eastAsia="zh-CN"/>
        </w:rPr>
      </w:pPr>
      <w:r>
        <w:rPr>
          <w:rFonts w:hint="eastAsia" w:hAnsi="宋体"/>
          <w:color w:val="auto"/>
          <w:highlight w:val="none"/>
          <w:lang w:val="en-US" w:eastAsia="zh-CN"/>
        </w:rPr>
        <w:t>五、售后服务方案</w:t>
      </w:r>
    </w:p>
    <w:p>
      <w:pPr>
        <w:numPr>
          <w:ilvl w:val="0"/>
          <w:numId w:val="0"/>
        </w:numPr>
        <w:adjustRightInd w:val="0"/>
        <w:snapToGrid w:val="0"/>
        <w:jc w:val="left"/>
        <w:rPr>
          <w:rFonts w:hint="default" w:ascii="宋体" w:hAnsi="宋体" w:eastAsia="宋体" w:cs="宋体"/>
          <w:sz w:val="24"/>
          <w:szCs w:val="24"/>
          <w:lang w:bidi="zh-CN"/>
        </w:rPr>
      </w:pPr>
      <w:r>
        <w:rPr>
          <w:rFonts w:hint="default" w:ascii="宋体" w:hAnsi="宋体" w:eastAsia="宋体" w:cs="宋体"/>
          <w:sz w:val="24"/>
          <w:szCs w:val="24"/>
          <w:lang w:bidi="zh-CN"/>
        </w:rPr>
        <w:t>组成。</w:t>
      </w:r>
    </w:p>
    <w:p>
      <w:pPr>
        <w:pStyle w:val="43"/>
        <w:numPr>
          <w:ilvl w:val="0"/>
          <w:numId w:val="0"/>
        </w:numPr>
        <w:rPr>
          <w:rFonts w:hint="default" w:ascii="宋体" w:hAnsi="宋体" w:eastAsia="宋体" w:cs="宋体"/>
          <w:lang w:bidi="zh-CN"/>
        </w:rPr>
      </w:pPr>
      <w:r>
        <w:rPr>
          <w:rFonts w:hint="eastAsia" w:ascii="宋体" w:hAnsi="宋体" w:eastAsia="宋体" w:cs="宋体"/>
          <w:lang w:val="en-US" w:bidi="zh-CN"/>
        </w:rPr>
        <w:t>1</w:t>
      </w:r>
      <w:r>
        <w:rPr>
          <w:rFonts w:hint="eastAsia" w:cs="宋体"/>
          <w:lang w:val="en-US" w:bidi="zh-CN"/>
        </w:rPr>
        <w:t>3</w:t>
      </w:r>
      <w:r>
        <w:rPr>
          <w:rFonts w:hint="eastAsia" w:ascii="宋体" w:hAnsi="宋体" w:eastAsia="宋体" w:cs="宋体"/>
          <w:lang w:val="en-US" w:bidi="zh-CN"/>
        </w:rPr>
        <w:t>.</w:t>
      </w:r>
      <w:r>
        <w:rPr>
          <w:rFonts w:hint="default" w:ascii="宋体" w:hAnsi="宋体" w:eastAsia="宋体" w:cs="宋体"/>
          <w:lang w:bidi="zh-CN"/>
        </w:rPr>
        <w:t>响应文件的密封和标记</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.1响应文件全部装入一个或者多个包封袋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封口处必须加盖供应商公章或者法定代表人签字或者委托代理人签字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项目名称、供应商名称、首次响应文件提交截止时间前不得启封</w:t>
      </w:r>
      <w:r>
        <w:rPr>
          <w:rFonts w:hint="default" w:ascii="宋体" w:hAnsi="宋体" w:eastAsia="宋体" w:cs="宋体"/>
          <w:sz w:val="24"/>
          <w:szCs w:val="24"/>
          <w:lang w:bidi="zh-CN"/>
        </w:rPr>
        <w:t>”</w:t>
      </w:r>
      <w:r>
        <w:rPr>
          <w:rFonts w:hint="eastAsia" w:ascii="宋体" w:hAnsi="宋体" w:eastAsia="宋体" w:cs="宋体"/>
          <w:sz w:val="24"/>
          <w:szCs w:val="24"/>
          <w:lang w:val="en-US" w:bidi="zh-CN"/>
        </w:rPr>
        <w:t>等</w:t>
      </w:r>
      <w:r>
        <w:rPr>
          <w:rFonts w:hint="default" w:ascii="宋体" w:hAnsi="宋体" w:eastAsia="宋体" w:cs="宋体"/>
          <w:sz w:val="24"/>
          <w:szCs w:val="24"/>
          <w:lang w:bidi="zh-CN"/>
        </w:rPr>
        <w:t>字样。</w:t>
      </w:r>
    </w:p>
    <w:p>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.3未按上述规定密封的响应文件将被拒收。</w:t>
      </w:r>
    </w:p>
    <w:p>
      <w:pPr>
        <w:pStyle w:val="43"/>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w:t>
      </w:r>
      <w:r>
        <w:rPr>
          <w:rFonts w:hint="eastAsia" w:cs="宋体"/>
          <w:lang w:val="en-US" w:bidi="zh-CN"/>
        </w:rPr>
        <w:t>4</w:t>
      </w:r>
      <w:r>
        <w:rPr>
          <w:rFonts w:hint="eastAsia" w:ascii="宋体" w:hAnsi="宋体" w:eastAsia="宋体" w:cs="宋体"/>
          <w:lang w:val="en-US" w:bidi="zh-CN"/>
        </w:rPr>
        <w:t>.</w:t>
      </w:r>
      <w:r>
        <w:rPr>
          <w:rFonts w:hint="default" w:ascii="宋体" w:hAnsi="宋体" w:eastAsia="宋体" w:cs="宋体"/>
          <w:lang w:bidi="zh-CN"/>
        </w:rPr>
        <w:t>响应文件的提交</w:t>
      </w:r>
    </w:p>
    <w:p>
      <w:pPr>
        <w:pStyle w:val="43"/>
        <w:numPr>
          <w:ilvl w:val="-1"/>
          <w:numId w:val="0"/>
        </w:numPr>
        <w:ind w:firstLine="480" w:firstLineChars="200"/>
        <w:rPr>
          <w:rFonts w:hint="default" w:ascii="宋体" w:hAnsi="宋体" w:eastAsia="宋体" w:cs="宋体"/>
          <w:b w:val="0"/>
          <w:bCs w:val="0"/>
          <w:sz w:val="24"/>
          <w:szCs w:val="24"/>
          <w:lang w:bidi="zh-CN"/>
        </w:rPr>
      </w:pPr>
      <w:r>
        <w:rPr>
          <w:rFonts w:hint="default" w:ascii="宋体" w:hAnsi="宋体" w:eastAsia="宋体" w:cs="宋体"/>
          <w:b w:val="0"/>
          <w:bCs w:val="0"/>
          <w:sz w:val="24"/>
          <w:szCs w:val="24"/>
          <w:lang w:bidi="zh-CN"/>
        </w:rPr>
        <w:t>供应商必须在“供应商须知前附表”规定的时间和地点提交响应文件。</w:t>
      </w:r>
    </w:p>
    <w:p>
      <w:pPr>
        <w:pStyle w:val="43"/>
        <w:numPr>
          <w:ilvl w:val="-1"/>
          <w:numId w:val="0"/>
        </w:numPr>
        <w:ind w:firstLine="480" w:firstLineChars="200"/>
        <w:rPr>
          <w:rFonts w:hint="eastAsia" w:cs="宋体"/>
          <w:b w:val="0"/>
          <w:bCs w:val="0"/>
          <w:sz w:val="24"/>
          <w:szCs w:val="24"/>
          <w:lang w:val="en-US" w:bidi="zh-CN"/>
        </w:rPr>
      </w:pPr>
      <w:r>
        <w:rPr>
          <w:rFonts w:hint="eastAsia" w:cs="宋体"/>
          <w:b w:val="0"/>
          <w:bCs w:val="0"/>
          <w:sz w:val="24"/>
          <w:szCs w:val="24"/>
          <w:lang w:val="en-US" w:bidi="zh-CN"/>
        </w:rPr>
        <w:t xml:space="preserve">       </w:t>
      </w:r>
    </w:p>
    <w:p>
      <w:pPr>
        <w:pStyle w:val="13"/>
        <w:spacing w:line="360" w:lineRule="auto"/>
        <w:ind w:firstLine="4000" w:firstLineChars="1245"/>
        <w:jc w:val="left"/>
        <w:rPr>
          <w:rFonts w:hint="eastAsia" w:hAnsi="宋体" w:cs="宋体"/>
          <w:highlight w:val="none"/>
        </w:rPr>
      </w:pPr>
      <w:r>
        <w:rPr>
          <w:rFonts w:hint="eastAsia" w:hAnsi="宋体" w:cs="宋体"/>
          <w:b/>
          <w:kern w:val="0"/>
          <w:sz w:val="32"/>
          <w:szCs w:val="32"/>
          <w:highlight w:val="none"/>
          <w:lang w:val="en-US" w:eastAsia="zh-CN"/>
        </w:rPr>
        <w:t>三、</w:t>
      </w:r>
      <w:r>
        <w:rPr>
          <w:rFonts w:hint="eastAsia" w:hAnsi="宋体" w:cs="宋体"/>
          <w:b/>
          <w:kern w:val="0"/>
          <w:sz w:val="32"/>
          <w:szCs w:val="32"/>
          <w:highlight w:val="none"/>
        </w:rPr>
        <w:t>评审标准</w:t>
      </w:r>
    </w:p>
    <w:p>
      <w:pPr>
        <w:pStyle w:val="13"/>
        <w:spacing w:line="360" w:lineRule="auto"/>
        <w:ind w:firstLine="278" w:firstLineChars="132"/>
        <w:rPr>
          <w:rFonts w:hint="eastAsia" w:hAnsi="宋体" w:cs="宋体"/>
          <w:b/>
          <w:bCs/>
          <w:highlight w:val="none"/>
        </w:rPr>
      </w:pPr>
    </w:p>
    <w:p>
      <w:pPr>
        <w:pStyle w:val="13"/>
        <w:spacing w:line="360" w:lineRule="auto"/>
        <w:rPr>
          <w:rFonts w:hint="eastAsia" w:hAnsi="宋体" w:cs="宋体"/>
          <w:b/>
          <w:bCs/>
          <w:highlight w:val="none"/>
        </w:rPr>
      </w:pPr>
      <w:r>
        <w:rPr>
          <w:rFonts w:hint="eastAsia" w:hAnsi="宋体" w:cs="宋体"/>
          <w:b/>
          <w:bCs/>
          <w:highlight w:val="none"/>
        </w:rPr>
        <w:t>一、评审原则</w:t>
      </w:r>
    </w:p>
    <w:p>
      <w:pPr>
        <w:pStyle w:val="13"/>
        <w:spacing w:line="360" w:lineRule="auto"/>
        <w:ind w:firstLine="420" w:firstLineChars="200"/>
        <w:rPr>
          <w:rFonts w:hint="eastAsia" w:hAnsi="宋体" w:cs="宋体"/>
          <w:bCs/>
          <w:highlight w:val="none"/>
        </w:rPr>
      </w:pPr>
      <w:r>
        <w:rPr>
          <w:rFonts w:hint="eastAsia" w:hAnsi="宋体" w:cs="宋体"/>
          <w:bCs/>
          <w:highlight w:val="none"/>
        </w:rPr>
        <w:t>(一）</w:t>
      </w:r>
      <w:r>
        <w:rPr>
          <w:rFonts w:hint="eastAsia" w:hAnsi="宋体" w:cs="宋体"/>
          <w:bCs/>
          <w:highlight w:val="none"/>
          <w:lang w:eastAsia="zh-CN"/>
        </w:rPr>
        <w:t>评审</w:t>
      </w:r>
      <w:r>
        <w:rPr>
          <w:rFonts w:hint="eastAsia" w:hAnsi="宋体" w:cs="宋体"/>
          <w:bCs/>
          <w:highlight w:val="none"/>
        </w:rPr>
        <w:t>小组构成：本项目的</w:t>
      </w:r>
      <w:r>
        <w:rPr>
          <w:rFonts w:hint="eastAsia" w:hAnsi="宋体" w:cs="宋体"/>
          <w:bCs/>
          <w:highlight w:val="none"/>
          <w:lang w:eastAsia="zh-CN"/>
        </w:rPr>
        <w:t>评审</w:t>
      </w:r>
      <w:r>
        <w:rPr>
          <w:rFonts w:hint="eastAsia" w:hAnsi="宋体" w:cs="宋体"/>
          <w:bCs/>
          <w:highlight w:val="none"/>
        </w:rPr>
        <w:t>小组由采购人代表和有关方面的专家组成。成员人数应当为三人以上（含三人）单数。其中，专家人数不得少于成员总数的三分之二。</w:t>
      </w:r>
    </w:p>
    <w:p>
      <w:pPr>
        <w:pStyle w:val="13"/>
        <w:spacing w:line="360" w:lineRule="auto"/>
        <w:ind w:firstLine="420" w:firstLineChars="200"/>
        <w:rPr>
          <w:rFonts w:hint="eastAsia" w:hAnsi="宋体" w:cs="宋体"/>
          <w:bCs/>
          <w:highlight w:val="none"/>
        </w:rPr>
      </w:pPr>
      <w:r>
        <w:rPr>
          <w:rFonts w:hint="eastAsia" w:hAnsi="宋体" w:cs="宋体"/>
          <w:bCs/>
          <w:highlight w:val="none"/>
        </w:rPr>
        <w:t>(二）评审依据：</w:t>
      </w:r>
      <w:r>
        <w:rPr>
          <w:rFonts w:hint="eastAsia" w:hAnsi="宋体" w:cs="宋体"/>
          <w:bCs/>
          <w:highlight w:val="none"/>
          <w:lang w:eastAsia="zh-CN"/>
        </w:rPr>
        <w:t>评审</w:t>
      </w:r>
      <w:r>
        <w:rPr>
          <w:rFonts w:hint="eastAsia" w:hAnsi="宋体" w:cs="宋体"/>
          <w:bCs/>
          <w:highlight w:val="none"/>
        </w:rPr>
        <w:t>小组将以</w:t>
      </w:r>
      <w:r>
        <w:rPr>
          <w:rFonts w:hint="eastAsia" w:hAnsi="宋体" w:cs="宋体"/>
          <w:bCs/>
          <w:highlight w:val="none"/>
          <w:lang w:eastAsia="zh-CN"/>
        </w:rPr>
        <w:t>评审</w:t>
      </w:r>
      <w:r>
        <w:rPr>
          <w:rFonts w:hint="eastAsia" w:hAnsi="宋体" w:cs="宋体"/>
          <w:bCs/>
          <w:highlight w:val="none"/>
        </w:rPr>
        <w:t>文件和响应文件为评审依据进行评审，对供应商的其中价格、</w:t>
      </w:r>
      <w:r>
        <w:rPr>
          <w:rFonts w:hint="eastAsia" w:ascii="宋体" w:hAnsi="宋体" w:cs="宋体"/>
          <w:szCs w:val="21"/>
          <w:highlight w:val="none"/>
          <w:lang w:val="en-US" w:eastAsia="zh-CN" w:bidi="ar"/>
        </w:rPr>
        <w:t>实施方案</w:t>
      </w:r>
      <w:r>
        <w:rPr>
          <w:rFonts w:hint="eastAsia" w:hAnsi="宋体" w:cs="宋体"/>
          <w:bCs/>
          <w:highlight w:val="none"/>
          <w:lang w:eastAsia="zh-CN"/>
        </w:rPr>
        <w:t>等内容</w:t>
      </w:r>
      <w:r>
        <w:rPr>
          <w:rFonts w:hint="eastAsia" w:hAnsi="宋体" w:cs="宋体"/>
          <w:bCs/>
          <w:highlight w:val="none"/>
        </w:rPr>
        <w:t>按百分制打分。</w:t>
      </w:r>
    </w:p>
    <w:p>
      <w:pPr>
        <w:pStyle w:val="13"/>
        <w:spacing w:line="360" w:lineRule="auto"/>
        <w:ind w:firstLine="420" w:firstLineChars="200"/>
        <w:rPr>
          <w:rFonts w:hint="eastAsia" w:hAnsi="宋体" w:cs="宋体"/>
          <w:bCs/>
          <w:highlight w:val="none"/>
        </w:rPr>
      </w:pPr>
      <w:r>
        <w:rPr>
          <w:rFonts w:hint="eastAsia" w:hAnsi="宋体" w:cs="宋体"/>
          <w:bCs/>
          <w:highlight w:val="none"/>
        </w:rPr>
        <w:t>(三）评审办法：综合评分法。</w:t>
      </w:r>
    </w:p>
    <w:p>
      <w:pPr>
        <w:pStyle w:val="13"/>
        <w:spacing w:line="360" w:lineRule="auto"/>
        <w:rPr>
          <w:rFonts w:hint="eastAsia" w:hAnsi="宋体" w:cs="宋体"/>
          <w:b/>
          <w:bCs/>
          <w:highlight w:val="none"/>
        </w:rPr>
      </w:pPr>
      <w:r>
        <w:rPr>
          <w:rFonts w:hint="eastAsia" w:hAnsi="宋体" w:cs="宋体"/>
          <w:b/>
          <w:bCs/>
          <w:highlight w:val="none"/>
        </w:rPr>
        <w:t>二、评审办法</w:t>
      </w:r>
    </w:p>
    <w:p>
      <w:pPr>
        <w:pStyle w:val="13"/>
        <w:spacing w:line="360" w:lineRule="auto"/>
        <w:ind w:firstLine="420" w:firstLineChars="200"/>
        <w:outlineLvl w:val="0"/>
        <w:rPr>
          <w:rFonts w:hint="eastAsia" w:hAnsi="宋体" w:cs="宋体"/>
          <w:highlight w:val="none"/>
        </w:rPr>
      </w:pPr>
      <w:bookmarkStart w:id="0" w:name="_Toc23706"/>
      <w:bookmarkStart w:id="1" w:name="_Toc26715"/>
      <w:bookmarkStart w:id="2" w:name="_Toc24715"/>
      <w:bookmarkStart w:id="3" w:name="_Toc23106"/>
      <w:bookmarkStart w:id="4" w:name="_Toc45"/>
      <w:r>
        <w:rPr>
          <w:rFonts w:hint="eastAsia" w:hAnsi="宋体" w:cs="宋体"/>
          <w:highlight w:val="none"/>
        </w:rPr>
        <w:t>对进入详评的，</w:t>
      </w:r>
      <w:r>
        <w:rPr>
          <w:rFonts w:hint="eastAsia" w:hAnsi="宋体" w:cs="宋体"/>
          <w:bCs/>
          <w:highlight w:val="none"/>
          <w:lang w:eastAsia="zh-CN"/>
        </w:rPr>
        <w:t>评审</w:t>
      </w:r>
      <w:r>
        <w:rPr>
          <w:rFonts w:hint="eastAsia" w:hAnsi="宋体" w:cs="宋体"/>
          <w:bCs/>
          <w:highlight w:val="none"/>
        </w:rPr>
        <w:t>小组将以竞争性</w:t>
      </w:r>
      <w:r>
        <w:rPr>
          <w:rFonts w:hint="eastAsia" w:hAnsi="宋体" w:cs="宋体"/>
          <w:bCs/>
          <w:highlight w:val="none"/>
          <w:lang w:eastAsia="zh-CN"/>
        </w:rPr>
        <w:t>评审</w:t>
      </w:r>
      <w:r>
        <w:rPr>
          <w:rFonts w:hint="eastAsia" w:hAnsi="宋体" w:cs="宋体"/>
          <w:bCs/>
          <w:highlight w:val="none"/>
        </w:rPr>
        <w:t>文件、响应文件为评审依据，</w:t>
      </w:r>
      <w:r>
        <w:rPr>
          <w:rFonts w:hint="eastAsia" w:hAnsi="宋体" w:cs="宋体"/>
          <w:highlight w:val="none"/>
        </w:rPr>
        <w:t>采用百分制综合评分，计分办法（按四舍五入取至百分位）：</w:t>
      </w:r>
      <w:bookmarkEnd w:id="0"/>
      <w:bookmarkEnd w:id="1"/>
      <w:bookmarkEnd w:id="2"/>
      <w:bookmarkEnd w:id="3"/>
      <w:bookmarkEnd w:id="4"/>
    </w:p>
    <w:p>
      <w:pPr>
        <w:pStyle w:val="13"/>
        <w:spacing w:line="360" w:lineRule="auto"/>
        <w:ind w:firstLine="420" w:firstLineChars="200"/>
        <w:outlineLvl w:val="0"/>
        <w:rPr>
          <w:rFonts w:hint="eastAsia" w:hAnsi="宋体" w:cs="宋体"/>
          <w:bCs/>
          <w:highlight w:val="none"/>
        </w:rPr>
      </w:pPr>
      <w:bookmarkStart w:id="5" w:name="_Toc8175"/>
      <w:bookmarkStart w:id="6" w:name="_Toc13470"/>
      <w:bookmarkStart w:id="7" w:name="_Toc8599"/>
      <w:bookmarkStart w:id="8" w:name="_Toc7191"/>
      <w:bookmarkStart w:id="9" w:name="_Toc17184"/>
      <w:r>
        <w:rPr>
          <w:rFonts w:hint="eastAsia" w:hAnsi="宋体" w:cs="宋体"/>
          <w:bCs/>
          <w:highlight w:val="none"/>
        </w:rPr>
        <w:t>（一）价格分……………………………………………………………………………</w:t>
      </w:r>
      <w:r>
        <w:rPr>
          <w:rFonts w:hint="eastAsia" w:hAnsi="宋体" w:cs="宋体"/>
          <w:bCs/>
          <w:highlight w:val="none"/>
          <w:lang w:val="en-US" w:eastAsia="zh-CN"/>
        </w:rPr>
        <w:t>50</w:t>
      </w:r>
      <w:r>
        <w:rPr>
          <w:rFonts w:hint="eastAsia" w:hAnsi="宋体" w:cs="宋体"/>
          <w:bCs/>
          <w:highlight w:val="none"/>
        </w:rPr>
        <w:t>分</w:t>
      </w:r>
      <w:bookmarkEnd w:id="5"/>
      <w:bookmarkEnd w:id="6"/>
      <w:bookmarkEnd w:id="7"/>
      <w:bookmarkEnd w:id="8"/>
      <w:bookmarkEnd w:id="9"/>
    </w:p>
    <w:p>
      <w:pPr>
        <w:pStyle w:val="13"/>
        <w:spacing w:line="360" w:lineRule="auto"/>
        <w:ind w:firstLine="420" w:firstLineChars="200"/>
        <w:rPr>
          <w:rFonts w:hint="eastAsia" w:hAnsi="宋体"/>
          <w:bCs/>
          <w:color w:val="000000"/>
          <w:highlight w:val="none"/>
        </w:rPr>
      </w:pPr>
      <w:bookmarkStart w:id="10" w:name="_Toc11421"/>
      <w:bookmarkStart w:id="11" w:name="_Toc146"/>
      <w:bookmarkStart w:id="12" w:name="_Toc22547"/>
      <w:bookmarkStart w:id="13" w:name="_Toc7295"/>
      <w:bookmarkStart w:id="14" w:name="_Toc21974"/>
      <w:r>
        <w:rPr>
          <w:rFonts w:hint="eastAsia" w:hAnsi="宋体"/>
          <w:bCs/>
          <w:color w:val="000000"/>
          <w:highlight w:val="none"/>
          <w:lang w:val="en-US" w:eastAsia="zh-CN"/>
        </w:rPr>
        <w:t>1.</w:t>
      </w:r>
      <w:r>
        <w:rPr>
          <w:rFonts w:hint="eastAsia" w:hAnsi="宋体"/>
          <w:bCs/>
          <w:color w:val="000000"/>
          <w:highlight w:val="none"/>
        </w:rPr>
        <w:t>最后</w:t>
      </w:r>
      <w:r>
        <w:rPr>
          <w:rFonts w:hint="eastAsia" w:hAnsi="宋体"/>
          <w:bCs/>
          <w:color w:val="000000"/>
          <w:highlight w:val="none"/>
          <w:lang w:eastAsia="zh-CN"/>
        </w:rPr>
        <w:t>评审</w:t>
      </w:r>
      <w:r>
        <w:rPr>
          <w:rFonts w:hint="eastAsia" w:hAnsi="宋体"/>
          <w:bCs/>
          <w:color w:val="000000"/>
          <w:highlight w:val="none"/>
        </w:rPr>
        <w:t>报价=评审价。</w:t>
      </w:r>
    </w:p>
    <w:p>
      <w:pPr>
        <w:pStyle w:val="13"/>
        <w:spacing w:line="360" w:lineRule="auto"/>
        <w:ind w:firstLine="420" w:firstLineChars="200"/>
        <w:rPr>
          <w:rFonts w:hint="eastAsia" w:hAnsi="宋体"/>
          <w:bCs/>
          <w:color w:val="000000"/>
          <w:highlight w:val="none"/>
        </w:rPr>
      </w:pPr>
      <w:r>
        <w:rPr>
          <w:rFonts w:hint="eastAsia" w:hAnsi="宋体"/>
          <w:bCs/>
          <w:color w:val="000000"/>
          <w:highlight w:val="none"/>
        </w:rPr>
        <w:t>2.满足</w:t>
      </w:r>
      <w:r>
        <w:rPr>
          <w:rFonts w:hint="eastAsia" w:hAnsi="宋体"/>
          <w:bCs/>
          <w:color w:val="000000"/>
          <w:highlight w:val="none"/>
          <w:lang w:eastAsia="zh-CN"/>
        </w:rPr>
        <w:t>评审</w:t>
      </w:r>
      <w:r>
        <w:rPr>
          <w:rFonts w:hint="eastAsia" w:hAnsi="宋体"/>
          <w:bCs/>
          <w:color w:val="000000"/>
          <w:highlight w:val="none"/>
        </w:rPr>
        <w:t>文件要求且评审价最低的供应商的报价为</w:t>
      </w:r>
      <w:r>
        <w:rPr>
          <w:rFonts w:hint="eastAsia" w:hAnsi="宋体"/>
          <w:bCs/>
          <w:color w:val="000000"/>
          <w:highlight w:val="none"/>
          <w:lang w:eastAsia="zh-CN"/>
        </w:rPr>
        <w:t>评审</w:t>
      </w:r>
      <w:r>
        <w:rPr>
          <w:rFonts w:hint="eastAsia" w:hAnsi="宋体"/>
          <w:bCs/>
          <w:color w:val="000000"/>
          <w:highlight w:val="none"/>
        </w:rPr>
        <w:t>基准价，其价格分为满分。</w:t>
      </w:r>
    </w:p>
    <w:p>
      <w:pPr>
        <w:pStyle w:val="13"/>
        <w:spacing w:line="360" w:lineRule="auto"/>
        <w:ind w:firstLine="420" w:firstLineChars="200"/>
        <w:outlineLvl w:val="0"/>
        <w:rPr>
          <w:rFonts w:hint="eastAsia" w:hAnsi="宋体"/>
          <w:bCs/>
          <w:color w:val="000000"/>
          <w:highlight w:val="none"/>
        </w:rPr>
      </w:pPr>
      <w:bookmarkStart w:id="15" w:name="_Toc46223405"/>
      <w:bookmarkStart w:id="16" w:name="_Toc46156201"/>
      <w:bookmarkStart w:id="17" w:name="_Toc64633447"/>
      <w:bookmarkStart w:id="18" w:name="_Toc46156317"/>
      <w:bookmarkStart w:id="19" w:name="_Toc64632893"/>
      <w:bookmarkStart w:id="20" w:name="_Toc46756768"/>
      <w:r>
        <w:rPr>
          <w:rFonts w:hint="eastAsia" w:hAnsi="宋体"/>
          <w:bCs/>
          <w:color w:val="000000"/>
          <w:highlight w:val="none"/>
          <w:lang w:eastAsia="zh-CN"/>
        </w:rPr>
        <w:t>评审</w:t>
      </w:r>
      <w:r>
        <w:rPr>
          <w:rFonts w:hint="eastAsia" w:hAnsi="宋体"/>
          <w:bCs/>
          <w:color w:val="000000"/>
          <w:highlight w:val="none"/>
        </w:rPr>
        <w:t>供应商报价得分 =（</w:t>
      </w:r>
      <w:r>
        <w:rPr>
          <w:rFonts w:hint="eastAsia" w:hAnsi="宋体"/>
          <w:bCs/>
          <w:color w:val="000000"/>
          <w:highlight w:val="none"/>
          <w:lang w:eastAsia="zh-CN"/>
        </w:rPr>
        <w:t>评审</w:t>
      </w:r>
      <w:r>
        <w:rPr>
          <w:rFonts w:hint="eastAsia" w:hAnsi="宋体"/>
          <w:bCs/>
          <w:color w:val="000000"/>
          <w:highlight w:val="none"/>
        </w:rPr>
        <w:t>基准价/评审价）×</w:t>
      </w:r>
      <w:r>
        <w:rPr>
          <w:rFonts w:hint="eastAsia" w:hAnsi="宋体"/>
          <w:bCs/>
          <w:color w:val="000000"/>
          <w:highlight w:val="none"/>
          <w:lang w:val="en-US" w:eastAsia="zh-CN"/>
        </w:rPr>
        <w:t>50</w:t>
      </w:r>
      <w:r>
        <w:rPr>
          <w:rFonts w:hint="eastAsia" w:hAnsi="宋体"/>
          <w:bCs/>
          <w:color w:val="000000"/>
          <w:highlight w:val="none"/>
        </w:rPr>
        <w:t>分</w:t>
      </w:r>
      <w:bookmarkEnd w:id="15"/>
      <w:bookmarkEnd w:id="16"/>
      <w:bookmarkEnd w:id="17"/>
      <w:bookmarkEnd w:id="18"/>
      <w:bookmarkEnd w:id="19"/>
      <w:bookmarkEnd w:id="20"/>
    </w:p>
    <w:p>
      <w:pPr>
        <w:pStyle w:val="13"/>
        <w:spacing w:line="360" w:lineRule="auto"/>
        <w:ind w:firstLine="420" w:firstLineChars="200"/>
        <w:outlineLvl w:val="0"/>
        <w:rPr>
          <w:rFonts w:hint="eastAsia" w:hAnsi="宋体" w:cs="宋体"/>
          <w:bCs/>
          <w:highlight w:val="none"/>
        </w:rPr>
      </w:pPr>
      <w:r>
        <w:rPr>
          <w:rFonts w:hint="eastAsia" w:hAnsi="宋体" w:cs="宋体"/>
          <w:bCs/>
          <w:highlight w:val="none"/>
          <w:lang w:eastAsia="zh-CN"/>
        </w:rPr>
        <w:t>（二）</w:t>
      </w:r>
      <w:r>
        <w:rPr>
          <w:rFonts w:hint="eastAsia" w:hAnsi="宋体" w:cs="宋体"/>
          <w:bCs/>
          <w:highlight w:val="none"/>
        </w:rPr>
        <w:t xml:space="preserve">技术性能分 …………………………………………………………………… </w:t>
      </w:r>
      <w:r>
        <w:rPr>
          <w:rFonts w:hint="eastAsia" w:hAnsi="宋体" w:cs="宋体"/>
          <w:bCs/>
          <w:highlight w:val="none"/>
          <w:lang w:val="en-US" w:eastAsia="zh-CN"/>
        </w:rPr>
        <w:t>15</w:t>
      </w:r>
      <w:r>
        <w:rPr>
          <w:rFonts w:hint="eastAsia" w:hAnsi="宋体" w:cs="宋体"/>
          <w:bCs/>
          <w:highlight w:val="none"/>
        </w:rPr>
        <w:t>分</w:t>
      </w:r>
    </w:p>
    <w:p>
      <w:pPr>
        <w:pStyle w:val="13"/>
        <w:spacing w:line="360" w:lineRule="auto"/>
        <w:ind w:firstLine="630" w:firstLineChars="300"/>
        <w:outlineLvl w:val="0"/>
        <w:rPr>
          <w:rFonts w:hint="eastAsia" w:hAnsi="宋体" w:cs="宋体"/>
          <w:bCs/>
          <w:highlight w:val="none"/>
        </w:rPr>
      </w:pPr>
      <w:r>
        <w:rPr>
          <w:rFonts w:hint="eastAsia" w:hAnsi="宋体" w:cs="宋体"/>
          <w:bCs/>
          <w:highlight w:val="none"/>
          <w:lang w:eastAsia="zh-CN"/>
        </w:rPr>
        <w:t>供应商</w:t>
      </w:r>
      <w:r>
        <w:rPr>
          <w:rFonts w:hint="eastAsia" w:hAnsi="宋体" w:cs="宋体"/>
          <w:bCs/>
          <w:highlight w:val="none"/>
        </w:rPr>
        <w:t>对本项目所提供的产品技术参数、性能指标、配置的体现等各方面综合考虑由评委在打分前集体讨论确定分档，评委在相应的档次内独立打分。</w:t>
      </w:r>
    </w:p>
    <w:p>
      <w:pPr>
        <w:pStyle w:val="13"/>
        <w:spacing w:line="360" w:lineRule="auto"/>
        <w:ind w:firstLine="420" w:firstLineChars="200"/>
        <w:outlineLvl w:val="0"/>
        <w:rPr>
          <w:rFonts w:hint="eastAsia" w:hAnsi="宋体" w:eastAsia="宋体" w:cs="宋体"/>
          <w:bCs/>
          <w:highlight w:val="none"/>
          <w:lang w:eastAsia="zh-CN"/>
        </w:rPr>
      </w:pPr>
      <w:r>
        <w:rPr>
          <w:rFonts w:hint="eastAsia" w:hAnsi="宋体" w:cs="宋体"/>
          <w:bCs/>
          <w:highlight w:val="none"/>
        </w:rPr>
        <w:t>一档</w:t>
      </w:r>
      <w:r>
        <w:rPr>
          <w:rFonts w:hint="eastAsia" w:hAnsi="宋体" w:cs="宋体"/>
          <w:bCs/>
          <w:highlight w:val="none"/>
          <w:lang w:eastAsia="zh-CN"/>
        </w:rPr>
        <w:t>：</w:t>
      </w:r>
      <w:r>
        <w:rPr>
          <w:rFonts w:hint="eastAsia" w:hAnsi="宋体" w:cs="宋体"/>
          <w:bCs/>
          <w:highlight w:val="none"/>
        </w:rPr>
        <w:t>（</w:t>
      </w:r>
      <w:r>
        <w:rPr>
          <w:rFonts w:hint="eastAsia" w:hAnsi="宋体" w:cs="宋体"/>
          <w:bCs/>
          <w:highlight w:val="none"/>
          <w:lang w:val="en-US" w:eastAsia="zh-CN"/>
        </w:rPr>
        <w:t>0</w:t>
      </w:r>
      <w:r>
        <w:rPr>
          <w:rFonts w:hint="eastAsia" w:hAnsi="宋体" w:cs="宋体"/>
          <w:bCs/>
          <w:highlight w:val="none"/>
        </w:rPr>
        <w:t>分）产品技术参数、性能指标、配置</w:t>
      </w:r>
      <w:r>
        <w:rPr>
          <w:rFonts w:hint="eastAsia" w:hAnsi="宋体" w:cs="宋体"/>
          <w:bCs/>
          <w:highlight w:val="none"/>
          <w:lang w:eastAsia="zh-CN"/>
        </w:rPr>
        <w:t>不</w:t>
      </w:r>
      <w:r>
        <w:rPr>
          <w:rFonts w:hint="eastAsia" w:hAnsi="宋体" w:cs="宋体"/>
          <w:bCs/>
          <w:highlight w:val="none"/>
        </w:rPr>
        <w:t>满足</w:t>
      </w:r>
      <w:r>
        <w:rPr>
          <w:rFonts w:hint="eastAsia" w:hAnsi="宋体" w:cs="宋体"/>
          <w:bCs/>
          <w:highlight w:val="none"/>
          <w:lang w:eastAsia="zh-CN"/>
        </w:rPr>
        <w:t>采购文件</w:t>
      </w:r>
      <w:r>
        <w:rPr>
          <w:rFonts w:hint="eastAsia" w:hAnsi="宋体" w:cs="宋体"/>
          <w:bCs/>
          <w:highlight w:val="none"/>
        </w:rPr>
        <w:t>要求；</w:t>
      </w:r>
    </w:p>
    <w:p>
      <w:pPr>
        <w:pStyle w:val="13"/>
        <w:spacing w:line="360" w:lineRule="auto"/>
        <w:ind w:firstLine="420" w:firstLineChars="200"/>
        <w:outlineLvl w:val="0"/>
        <w:rPr>
          <w:rFonts w:hint="eastAsia" w:hAnsi="宋体" w:cs="宋体"/>
          <w:bCs/>
          <w:highlight w:val="none"/>
        </w:rPr>
      </w:pPr>
      <w:r>
        <w:rPr>
          <w:rFonts w:hint="eastAsia" w:hAnsi="宋体" w:cs="宋体"/>
          <w:bCs/>
          <w:highlight w:val="none"/>
        </w:rPr>
        <w:t>二档：（</w:t>
      </w:r>
      <w:r>
        <w:rPr>
          <w:rFonts w:hint="eastAsia" w:hAnsi="宋体" w:cs="宋体"/>
          <w:bCs/>
          <w:highlight w:val="none"/>
          <w:lang w:val="en-US" w:eastAsia="zh-CN"/>
        </w:rPr>
        <w:t>0-6</w:t>
      </w:r>
      <w:r>
        <w:rPr>
          <w:rFonts w:hint="eastAsia" w:hAnsi="宋体" w:cs="宋体"/>
          <w:bCs/>
          <w:highlight w:val="none"/>
        </w:rPr>
        <w:t>分）产品技术参数、性能指标、配置的体现基本满足</w:t>
      </w:r>
      <w:r>
        <w:rPr>
          <w:rFonts w:hint="eastAsia" w:hAnsi="宋体" w:cs="宋体"/>
          <w:bCs/>
          <w:highlight w:val="none"/>
          <w:lang w:eastAsia="zh-CN"/>
        </w:rPr>
        <w:t>采购文件</w:t>
      </w:r>
      <w:r>
        <w:rPr>
          <w:rFonts w:hint="eastAsia" w:hAnsi="宋体" w:cs="宋体"/>
          <w:bCs/>
          <w:highlight w:val="none"/>
        </w:rPr>
        <w:t>要求；</w:t>
      </w:r>
    </w:p>
    <w:p>
      <w:pPr>
        <w:pStyle w:val="13"/>
        <w:spacing w:line="360" w:lineRule="auto"/>
        <w:ind w:firstLine="420" w:firstLineChars="200"/>
        <w:outlineLvl w:val="0"/>
        <w:rPr>
          <w:rFonts w:hint="eastAsia" w:hAnsi="宋体" w:cs="宋体"/>
          <w:bCs/>
          <w:highlight w:val="none"/>
        </w:rPr>
      </w:pPr>
      <w:r>
        <w:rPr>
          <w:rFonts w:hint="eastAsia" w:hAnsi="宋体" w:cs="宋体"/>
          <w:bCs/>
          <w:highlight w:val="none"/>
        </w:rPr>
        <w:t>三档：（</w:t>
      </w:r>
      <w:r>
        <w:rPr>
          <w:rFonts w:hint="eastAsia" w:hAnsi="宋体" w:cs="宋体"/>
          <w:bCs/>
          <w:highlight w:val="none"/>
          <w:lang w:val="en-US" w:eastAsia="zh-CN"/>
        </w:rPr>
        <w:t>6.1-10</w:t>
      </w:r>
      <w:r>
        <w:rPr>
          <w:rFonts w:hint="eastAsia" w:hAnsi="宋体" w:cs="宋体"/>
          <w:bCs/>
          <w:highlight w:val="none"/>
        </w:rPr>
        <w:t>分）产品技术参数、性能指标、配置的体现优于</w:t>
      </w:r>
      <w:r>
        <w:rPr>
          <w:rFonts w:hint="eastAsia" w:hAnsi="宋体" w:cs="宋体"/>
          <w:bCs/>
          <w:highlight w:val="none"/>
          <w:lang w:eastAsia="zh-CN"/>
        </w:rPr>
        <w:t>采购文件</w:t>
      </w:r>
      <w:r>
        <w:rPr>
          <w:rFonts w:hint="eastAsia" w:hAnsi="宋体" w:cs="宋体"/>
          <w:bCs/>
          <w:highlight w:val="none"/>
        </w:rPr>
        <w:t>要求，且出现 2～3 个正偏离；</w:t>
      </w:r>
    </w:p>
    <w:p>
      <w:pPr>
        <w:pStyle w:val="13"/>
        <w:spacing w:line="360" w:lineRule="auto"/>
        <w:ind w:firstLine="420" w:firstLineChars="200"/>
        <w:outlineLvl w:val="0"/>
        <w:rPr>
          <w:rFonts w:hint="eastAsia" w:hAnsi="宋体" w:cs="宋体"/>
          <w:bCs/>
          <w:highlight w:val="none"/>
        </w:rPr>
      </w:pPr>
      <w:r>
        <w:rPr>
          <w:rFonts w:hint="eastAsia" w:hAnsi="宋体" w:cs="宋体"/>
          <w:bCs/>
          <w:highlight w:val="none"/>
          <w:lang w:eastAsia="zh-CN"/>
        </w:rPr>
        <w:t>四</w:t>
      </w:r>
      <w:r>
        <w:rPr>
          <w:rFonts w:hint="eastAsia" w:hAnsi="宋体" w:cs="宋体"/>
          <w:bCs/>
          <w:highlight w:val="none"/>
        </w:rPr>
        <w:t>档：（</w:t>
      </w:r>
      <w:r>
        <w:rPr>
          <w:rFonts w:hint="eastAsia" w:hAnsi="宋体" w:cs="宋体"/>
          <w:bCs/>
          <w:highlight w:val="none"/>
          <w:lang w:val="en-US" w:eastAsia="zh-CN"/>
        </w:rPr>
        <w:t>10.1-14</w:t>
      </w:r>
      <w:r>
        <w:rPr>
          <w:rFonts w:hint="eastAsia" w:hAnsi="宋体" w:cs="宋体"/>
          <w:bCs/>
          <w:highlight w:val="none"/>
        </w:rPr>
        <w:t>分）产品技术参数、性能指标、配置的体现优于</w:t>
      </w:r>
      <w:r>
        <w:rPr>
          <w:rFonts w:hint="eastAsia" w:hAnsi="宋体" w:cs="宋体"/>
          <w:bCs/>
          <w:highlight w:val="none"/>
          <w:lang w:eastAsia="zh-CN"/>
        </w:rPr>
        <w:t>采购文件</w:t>
      </w:r>
      <w:r>
        <w:rPr>
          <w:rFonts w:hint="eastAsia" w:hAnsi="宋体" w:cs="宋体"/>
          <w:bCs/>
          <w:highlight w:val="none"/>
        </w:rPr>
        <w:t>要求，且出现 4～6 个及以上正偏离；</w:t>
      </w:r>
    </w:p>
    <w:p>
      <w:pPr>
        <w:autoSpaceDE w:val="0"/>
        <w:autoSpaceDN w:val="0"/>
        <w:adjustRightInd w:val="0"/>
        <w:spacing w:line="360" w:lineRule="auto"/>
        <w:ind w:firstLine="420" w:firstLineChars="200"/>
        <w:rPr>
          <w:rFonts w:hint="eastAsia" w:hAnsi="宋体" w:cs="宋体"/>
          <w:bCs/>
          <w:highlight w:val="none"/>
        </w:rPr>
      </w:pPr>
      <w:r>
        <w:rPr>
          <w:rFonts w:hint="eastAsia" w:ascii="宋体" w:hAnsi="宋体" w:cs="宋体"/>
          <w:bCs/>
          <w:szCs w:val="21"/>
          <w:highlight w:val="none"/>
          <w:lang w:eastAsia="zh-CN"/>
        </w:rPr>
        <w:t>（三）</w:t>
      </w:r>
      <w:r>
        <w:rPr>
          <w:rFonts w:hint="eastAsia" w:hAnsi="宋体" w:cs="宋体"/>
          <w:bCs/>
          <w:highlight w:val="none"/>
        </w:rPr>
        <w:t>实施方案分</w:t>
      </w:r>
      <w:r>
        <w:rPr>
          <w:rFonts w:hint="eastAsia" w:ascii="宋体" w:hAnsi="宋体" w:cs="宋体"/>
          <w:bCs/>
          <w:szCs w:val="21"/>
          <w:highlight w:val="none"/>
        </w:rPr>
        <w:t xml:space="preserve"> ………………………………………………………………………</w:t>
      </w:r>
      <w:r>
        <w:rPr>
          <w:rFonts w:hint="eastAsia" w:ascii="宋体" w:hAnsi="宋体" w:cs="宋体"/>
          <w:bCs/>
          <w:szCs w:val="21"/>
          <w:highlight w:val="none"/>
          <w:lang w:val="en-US" w:eastAsia="zh-CN"/>
        </w:rPr>
        <w:t>20</w:t>
      </w:r>
      <w:r>
        <w:rPr>
          <w:rFonts w:hint="eastAsia" w:ascii="宋体" w:hAnsi="宋体" w:cs="宋体"/>
          <w:bCs/>
          <w:szCs w:val="21"/>
          <w:highlight w:val="none"/>
        </w:rPr>
        <w:t>分</w:t>
      </w:r>
    </w:p>
    <w:p>
      <w:pPr>
        <w:rPr>
          <w:rFonts w:hint="eastAsia"/>
        </w:rPr>
      </w:pPr>
    </w:p>
    <w:p>
      <w:pPr>
        <w:pStyle w:val="13"/>
        <w:numPr>
          <w:ilvl w:val="0"/>
          <w:numId w:val="2"/>
        </w:numPr>
        <w:spacing w:line="360" w:lineRule="auto"/>
        <w:ind w:firstLine="420" w:firstLineChars="200"/>
        <w:outlineLvl w:val="0"/>
        <w:rPr>
          <w:rFonts w:hint="eastAsia" w:hAnsi="宋体" w:cs="宋体"/>
          <w:bCs/>
          <w:highlight w:val="none"/>
        </w:rPr>
      </w:pPr>
      <w:r>
        <w:rPr>
          <w:rFonts w:hint="eastAsia" w:hAnsi="宋体" w:cs="宋体"/>
          <w:bCs/>
          <w:highlight w:val="none"/>
        </w:rPr>
        <w:t>实施方案分：</w:t>
      </w:r>
      <w:r>
        <w:rPr>
          <w:rFonts w:hint="eastAsia" w:hAnsi="宋体" w:cs="宋体"/>
          <w:bCs/>
          <w:highlight w:val="none"/>
          <w:lang w:eastAsia="zh-CN"/>
        </w:rPr>
        <w:t>供应商</w:t>
      </w:r>
      <w:r>
        <w:rPr>
          <w:rFonts w:hint="eastAsia" w:hAnsi="宋体" w:cs="宋体"/>
          <w:bCs/>
          <w:highlight w:val="none"/>
        </w:rPr>
        <w:t>的</w:t>
      </w:r>
      <w:r>
        <w:rPr>
          <w:rFonts w:hint="eastAsia" w:hAnsi="宋体" w:cs="宋体"/>
          <w:bCs/>
          <w:highlight w:val="none"/>
          <w:lang w:eastAsia="zh-CN"/>
        </w:rPr>
        <w:t>实施</w:t>
      </w:r>
      <w:r>
        <w:rPr>
          <w:rFonts w:hint="eastAsia" w:hAnsi="宋体" w:cs="宋体"/>
          <w:bCs/>
          <w:highlight w:val="none"/>
        </w:rPr>
        <w:t>方案（包括</w:t>
      </w:r>
      <w:r>
        <w:rPr>
          <w:rFonts w:hint="eastAsia" w:hAnsi="宋体" w:cs="宋体"/>
          <w:bCs/>
          <w:highlight w:val="none"/>
          <w:lang w:eastAsia="zh-CN"/>
        </w:rPr>
        <w:t>供应商</w:t>
      </w:r>
      <w:r>
        <w:rPr>
          <w:rFonts w:hint="eastAsia" w:hAnsi="宋体" w:cs="宋体"/>
          <w:bCs/>
          <w:highlight w:val="none"/>
        </w:rPr>
        <w:t>运输方案 、安装调试计划</w:t>
      </w:r>
      <w:r>
        <w:rPr>
          <w:rFonts w:hint="eastAsia" w:hAnsi="宋体" w:cs="宋体"/>
          <w:bCs/>
          <w:highlight w:val="none"/>
          <w:lang w:eastAsia="zh-CN"/>
        </w:rPr>
        <w:t>、</w:t>
      </w:r>
      <w:r>
        <w:rPr>
          <w:rFonts w:hint="eastAsia" w:hAnsi="宋体" w:cs="宋体"/>
          <w:bCs/>
          <w:highlight w:val="none"/>
        </w:rPr>
        <w:t>培训计划、应急措施、技术人员安排人员配备、设备、进度计划、安装调试方案、验收方法与措施等详细内容）</w:t>
      </w:r>
      <w:r>
        <w:rPr>
          <w:rFonts w:hint="eastAsia" w:ascii="宋体" w:hAnsi="宋体" w:cs="宋体"/>
          <w:bCs/>
          <w:szCs w:val="21"/>
          <w:highlight w:val="none"/>
        </w:rPr>
        <w:t>集体讨论确定各</w:t>
      </w:r>
      <w:r>
        <w:rPr>
          <w:rFonts w:hint="eastAsia" w:ascii="宋体" w:hAnsi="宋体" w:cs="宋体"/>
          <w:bCs/>
          <w:szCs w:val="21"/>
          <w:highlight w:val="none"/>
          <w:lang w:eastAsia="zh-CN"/>
        </w:rPr>
        <w:t>供应商</w:t>
      </w:r>
      <w:r>
        <w:rPr>
          <w:rFonts w:hint="eastAsia" w:ascii="宋体" w:hAnsi="宋体" w:cs="宋体"/>
          <w:bCs/>
          <w:szCs w:val="21"/>
          <w:highlight w:val="none"/>
        </w:rPr>
        <w:t xml:space="preserve">所属档次，然后评委在各档次内独立打分（满分 </w:t>
      </w:r>
      <w:r>
        <w:rPr>
          <w:rFonts w:hint="eastAsia" w:hAnsi="宋体" w:cs="宋体"/>
          <w:bCs/>
          <w:szCs w:val="21"/>
          <w:highlight w:val="none"/>
          <w:lang w:val="en-US" w:eastAsia="zh-CN"/>
        </w:rPr>
        <w:t>20</w:t>
      </w:r>
      <w:r>
        <w:rPr>
          <w:rFonts w:hint="eastAsia" w:ascii="宋体" w:hAnsi="宋体" w:cs="宋体"/>
          <w:bCs/>
          <w:szCs w:val="21"/>
          <w:highlight w:val="none"/>
        </w:rPr>
        <w:t>分）</w:t>
      </w:r>
      <w:r>
        <w:rPr>
          <w:rFonts w:hint="eastAsia" w:hAnsi="宋体" w:cs="宋体"/>
          <w:bCs/>
          <w:highlight w:val="none"/>
        </w:rPr>
        <w:t>。</w:t>
      </w:r>
    </w:p>
    <w:p>
      <w:pPr>
        <w:pStyle w:val="13"/>
        <w:spacing w:line="360" w:lineRule="auto"/>
        <w:ind w:firstLine="420" w:firstLineChars="200"/>
        <w:outlineLvl w:val="0"/>
        <w:rPr>
          <w:rFonts w:hint="eastAsia" w:ascii="宋体" w:hAnsi="宋体" w:eastAsia="宋体" w:cs="宋体"/>
          <w:bCs/>
          <w:highlight w:val="none"/>
          <w:lang w:eastAsia="zh-CN"/>
        </w:rPr>
      </w:pPr>
      <w:r>
        <w:rPr>
          <w:rFonts w:hint="eastAsia" w:hAnsi="宋体" w:cs="宋体"/>
          <w:bCs/>
          <w:highlight w:val="none"/>
        </w:rPr>
        <w:t>一档</w:t>
      </w:r>
      <w:r>
        <w:rPr>
          <w:rFonts w:hint="eastAsia" w:hAnsi="宋体" w:cs="宋体"/>
          <w:bCs/>
          <w:highlight w:val="none"/>
          <w:lang w:eastAsia="zh-CN"/>
        </w:rPr>
        <w:t>：</w:t>
      </w:r>
      <w:r>
        <w:rPr>
          <w:rFonts w:hint="eastAsia" w:hAnsi="宋体" w:cs="宋体"/>
          <w:bCs/>
          <w:highlight w:val="none"/>
        </w:rPr>
        <w:t>（</w:t>
      </w:r>
      <w:r>
        <w:rPr>
          <w:rFonts w:hint="eastAsia" w:ascii="宋体" w:hAnsi="宋体" w:eastAsia="宋体" w:cs="宋体"/>
          <w:bCs/>
          <w:highlight w:val="none"/>
          <w:lang w:val="en-US" w:eastAsia="zh-CN"/>
        </w:rPr>
        <w:t>0</w:t>
      </w:r>
      <w:r>
        <w:rPr>
          <w:rFonts w:hint="eastAsia" w:ascii="宋体" w:hAnsi="宋体" w:eastAsia="宋体" w:cs="宋体"/>
          <w:bCs/>
          <w:highlight w:val="none"/>
        </w:rPr>
        <w:t>分）设备安装方案简单，人员配备、设备、进度计划</w:t>
      </w:r>
      <w:r>
        <w:rPr>
          <w:rFonts w:hint="eastAsia" w:ascii="宋体" w:hAnsi="宋体" w:eastAsia="宋体" w:cs="宋体"/>
          <w:bCs/>
          <w:highlight w:val="none"/>
          <w:lang w:eastAsia="zh-CN"/>
        </w:rPr>
        <w:t>不</w:t>
      </w:r>
      <w:r>
        <w:rPr>
          <w:rFonts w:hint="eastAsia" w:ascii="宋体" w:hAnsi="宋体" w:eastAsia="宋体" w:cs="宋体"/>
          <w:bCs/>
          <w:highlight w:val="none"/>
        </w:rPr>
        <w:t>满足</w:t>
      </w:r>
      <w:r>
        <w:rPr>
          <w:rFonts w:hint="eastAsia" w:ascii="宋体" w:hAnsi="宋体" w:eastAsia="宋体" w:cs="宋体"/>
          <w:bCs/>
          <w:highlight w:val="none"/>
          <w:lang w:eastAsia="zh-CN"/>
        </w:rPr>
        <w:t>采购文件</w:t>
      </w:r>
      <w:r>
        <w:rPr>
          <w:rFonts w:hint="eastAsia" w:ascii="宋体" w:hAnsi="宋体" w:eastAsia="宋体" w:cs="宋体"/>
          <w:bCs/>
          <w:highlight w:val="none"/>
        </w:rPr>
        <w:t>要求</w:t>
      </w:r>
      <w:r>
        <w:rPr>
          <w:rFonts w:hint="eastAsia" w:hAnsi="宋体" w:cs="宋体"/>
          <w:bCs/>
          <w:highlight w:val="none"/>
          <w:lang w:eastAsia="zh-CN"/>
        </w:rPr>
        <w:t>；</w:t>
      </w:r>
    </w:p>
    <w:p>
      <w:pPr>
        <w:pStyle w:val="13"/>
        <w:spacing w:line="360" w:lineRule="auto"/>
        <w:ind w:firstLine="420" w:firstLineChars="200"/>
        <w:outlineLvl w:val="0"/>
        <w:rPr>
          <w:rFonts w:hint="eastAsia" w:ascii="宋体" w:hAnsi="宋体" w:eastAsia="宋体" w:cs="宋体"/>
          <w:bCs/>
          <w:highlight w:val="none"/>
        </w:rPr>
      </w:pPr>
      <w:r>
        <w:rPr>
          <w:rFonts w:hint="eastAsia" w:ascii="宋体" w:hAnsi="宋体" w:eastAsia="宋体" w:cs="宋体"/>
          <w:bCs/>
          <w:highlight w:val="none"/>
          <w:lang w:eastAsia="zh-CN"/>
        </w:rPr>
        <w:t>二</w:t>
      </w:r>
      <w:r>
        <w:rPr>
          <w:rFonts w:hint="eastAsia" w:ascii="宋体" w:hAnsi="宋体" w:eastAsia="宋体" w:cs="宋体"/>
          <w:bCs/>
          <w:highlight w:val="none"/>
        </w:rPr>
        <w:t>档：（</w:t>
      </w:r>
      <w:r>
        <w:rPr>
          <w:rFonts w:hint="eastAsia" w:ascii="宋体" w:hAnsi="宋体" w:eastAsia="宋体" w:cs="宋体"/>
          <w:bCs/>
          <w:highlight w:val="none"/>
          <w:lang w:val="en-US" w:eastAsia="zh-CN"/>
        </w:rPr>
        <w:t>0-</w:t>
      </w:r>
      <w:r>
        <w:rPr>
          <w:rFonts w:hint="eastAsia" w:hAnsi="宋体" w:cs="宋体"/>
          <w:bCs/>
          <w:highlight w:val="none"/>
          <w:lang w:val="en-US" w:eastAsia="zh-CN"/>
        </w:rPr>
        <w:t>5</w:t>
      </w:r>
      <w:r>
        <w:rPr>
          <w:rFonts w:hint="eastAsia" w:ascii="宋体" w:hAnsi="宋体" w:eastAsia="宋体" w:cs="宋体"/>
          <w:bCs/>
          <w:highlight w:val="none"/>
        </w:rPr>
        <w:t>分）设备安装方案简单，人员配备、设备、进度计划基本满足</w:t>
      </w:r>
      <w:r>
        <w:rPr>
          <w:rFonts w:hint="eastAsia" w:ascii="宋体" w:hAnsi="宋体" w:eastAsia="宋体" w:cs="宋体"/>
          <w:bCs/>
          <w:highlight w:val="none"/>
          <w:lang w:eastAsia="zh-CN"/>
        </w:rPr>
        <w:t>采购文件</w:t>
      </w:r>
      <w:r>
        <w:rPr>
          <w:rFonts w:hint="eastAsia" w:ascii="宋体" w:hAnsi="宋体" w:eastAsia="宋体" w:cs="宋体"/>
          <w:bCs/>
          <w:highlight w:val="none"/>
        </w:rPr>
        <w:t>要求；</w:t>
      </w:r>
    </w:p>
    <w:p>
      <w:pPr>
        <w:pStyle w:val="13"/>
        <w:spacing w:line="360" w:lineRule="auto"/>
        <w:ind w:firstLine="420" w:firstLineChars="200"/>
        <w:outlineLvl w:val="0"/>
        <w:rPr>
          <w:rFonts w:hint="eastAsia" w:hAnsi="宋体" w:cs="宋体"/>
          <w:bCs/>
          <w:highlight w:val="none"/>
        </w:rPr>
      </w:pPr>
      <w:r>
        <w:rPr>
          <w:rFonts w:hint="eastAsia" w:ascii="宋体" w:hAnsi="宋体" w:eastAsia="宋体" w:cs="宋体"/>
          <w:bCs/>
          <w:highlight w:val="none"/>
          <w:lang w:eastAsia="zh-CN"/>
        </w:rPr>
        <w:t>三</w:t>
      </w:r>
      <w:r>
        <w:rPr>
          <w:rFonts w:hint="eastAsia" w:ascii="宋体" w:hAnsi="宋体" w:eastAsia="宋体" w:cs="宋体"/>
          <w:bCs/>
          <w:highlight w:val="none"/>
        </w:rPr>
        <w:t>档：（</w:t>
      </w:r>
      <w:r>
        <w:rPr>
          <w:rFonts w:hint="eastAsia" w:hAnsi="宋体" w:cs="宋体"/>
          <w:bCs/>
          <w:highlight w:val="none"/>
          <w:lang w:val="en-US" w:eastAsia="zh-CN"/>
        </w:rPr>
        <w:t>6-10</w:t>
      </w:r>
      <w:r>
        <w:rPr>
          <w:rFonts w:hint="eastAsia" w:hAnsi="宋体" w:cs="宋体"/>
          <w:bCs/>
          <w:highlight w:val="none"/>
        </w:rPr>
        <w:t>分）设备安装方案详细，有一定的人员配备、设备以及设备安装进度计划</w:t>
      </w:r>
      <w:r>
        <w:rPr>
          <w:rFonts w:hint="eastAsia" w:hAnsi="宋体" w:cs="宋体"/>
          <w:bCs/>
          <w:highlight w:val="none"/>
          <w:lang w:eastAsia="zh-CN"/>
        </w:rPr>
        <w:t>，</w:t>
      </w:r>
      <w:r>
        <w:rPr>
          <w:rFonts w:hint="eastAsia" w:hAnsi="宋体" w:cs="宋体"/>
          <w:bCs/>
          <w:highlight w:val="none"/>
        </w:rPr>
        <w:t>满足</w:t>
      </w:r>
      <w:r>
        <w:rPr>
          <w:rFonts w:hint="eastAsia" w:hAnsi="宋体" w:cs="宋体"/>
          <w:bCs/>
          <w:highlight w:val="none"/>
          <w:lang w:eastAsia="zh-CN"/>
        </w:rPr>
        <w:t>采购文件</w:t>
      </w:r>
      <w:r>
        <w:rPr>
          <w:rFonts w:hint="eastAsia" w:hAnsi="宋体" w:cs="宋体"/>
          <w:bCs/>
          <w:highlight w:val="none"/>
        </w:rPr>
        <w:t>要求；</w:t>
      </w:r>
    </w:p>
    <w:p>
      <w:pPr>
        <w:pStyle w:val="13"/>
        <w:spacing w:line="360" w:lineRule="auto"/>
        <w:ind w:firstLine="420" w:firstLineChars="200"/>
        <w:outlineLvl w:val="0"/>
        <w:rPr>
          <w:rFonts w:hint="eastAsia" w:hAnsi="宋体" w:cs="宋体"/>
          <w:bCs/>
          <w:highlight w:val="none"/>
        </w:rPr>
      </w:pPr>
      <w:r>
        <w:rPr>
          <w:rFonts w:hint="eastAsia" w:hAnsi="宋体" w:cs="宋体"/>
          <w:bCs/>
          <w:highlight w:val="none"/>
          <w:lang w:eastAsia="zh-CN"/>
        </w:rPr>
        <w:t>四</w:t>
      </w:r>
      <w:r>
        <w:rPr>
          <w:rFonts w:hint="eastAsia" w:hAnsi="宋体" w:cs="宋体"/>
          <w:bCs/>
          <w:highlight w:val="none"/>
        </w:rPr>
        <w:t>档：（</w:t>
      </w:r>
      <w:r>
        <w:rPr>
          <w:rFonts w:hint="eastAsia" w:hAnsi="宋体" w:cs="宋体"/>
          <w:bCs/>
          <w:highlight w:val="none"/>
          <w:lang w:val="en-US" w:eastAsia="zh-CN"/>
        </w:rPr>
        <w:t>10-13</w:t>
      </w:r>
      <w:r>
        <w:rPr>
          <w:rFonts w:hint="eastAsia" w:hAnsi="宋体" w:cs="宋体"/>
          <w:bCs/>
          <w:highlight w:val="none"/>
        </w:rPr>
        <w:t xml:space="preserve"> 分）设备安装方案详细，人员配备、设备以及设备安装进度计划，技术力量和人力资源安排充足，方案详细</w:t>
      </w:r>
      <w:r>
        <w:rPr>
          <w:rFonts w:hint="eastAsia" w:hAnsi="宋体" w:cs="宋体"/>
          <w:bCs/>
          <w:highlight w:val="none"/>
          <w:lang w:eastAsia="zh-CN"/>
        </w:rPr>
        <w:t>，科学可行，</w:t>
      </w:r>
      <w:r>
        <w:rPr>
          <w:rFonts w:hint="eastAsia" w:hAnsi="宋体" w:cs="宋体"/>
          <w:bCs/>
          <w:highlight w:val="none"/>
        </w:rPr>
        <w:t>满足</w:t>
      </w:r>
      <w:r>
        <w:rPr>
          <w:rFonts w:hint="eastAsia" w:hAnsi="宋体" w:cs="宋体"/>
          <w:bCs/>
          <w:highlight w:val="none"/>
          <w:lang w:eastAsia="zh-CN"/>
        </w:rPr>
        <w:t>采购文件</w:t>
      </w:r>
      <w:r>
        <w:rPr>
          <w:rFonts w:hint="eastAsia" w:hAnsi="宋体" w:cs="宋体"/>
          <w:bCs/>
          <w:highlight w:val="none"/>
        </w:rPr>
        <w:t>要求。</w:t>
      </w:r>
    </w:p>
    <w:p>
      <w:pPr>
        <w:autoSpaceDE w:val="0"/>
        <w:autoSpaceDN w:val="0"/>
        <w:adjustRightInd w:val="0"/>
        <w:spacing w:line="360" w:lineRule="auto"/>
        <w:ind w:firstLine="420" w:firstLineChars="200"/>
        <w:rPr>
          <w:rFonts w:hint="eastAsia" w:hAnsi="宋体" w:cs="宋体"/>
          <w:bCs/>
          <w:highlight w:val="none"/>
        </w:rPr>
      </w:pPr>
      <w:r>
        <w:rPr>
          <w:rFonts w:hint="eastAsia" w:ascii="宋体" w:hAnsi="宋体" w:cs="宋体"/>
          <w:bCs/>
          <w:szCs w:val="21"/>
          <w:highlight w:val="none"/>
          <w:lang w:eastAsia="zh-CN"/>
        </w:rPr>
        <w:t>（</w:t>
      </w:r>
      <w:r>
        <w:rPr>
          <w:rFonts w:hint="eastAsia" w:ascii="宋体" w:hAnsi="宋体" w:cs="宋体"/>
          <w:bCs/>
          <w:szCs w:val="21"/>
          <w:highlight w:val="none"/>
          <w:lang w:val="en-US" w:eastAsia="zh-CN"/>
        </w:rPr>
        <w:t>四</w:t>
      </w:r>
      <w:r>
        <w:rPr>
          <w:rFonts w:hint="eastAsia" w:ascii="宋体" w:hAnsi="宋体" w:cs="宋体"/>
          <w:bCs/>
          <w:szCs w:val="21"/>
          <w:highlight w:val="none"/>
          <w:lang w:eastAsia="zh-CN"/>
        </w:rPr>
        <w:t>）</w:t>
      </w:r>
      <w:r>
        <w:rPr>
          <w:rFonts w:hint="eastAsia" w:ascii="宋体" w:hAnsi="宋体" w:cs="宋体"/>
          <w:bCs/>
          <w:szCs w:val="21"/>
          <w:highlight w:val="none"/>
          <w:lang w:val="en-US" w:eastAsia="zh-CN"/>
        </w:rPr>
        <w:t>售后服务</w:t>
      </w:r>
      <w:r>
        <w:rPr>
          <w:rFonts w:hint="eastAsia" w:ascii="宋体" w:hAnsi="宋体" w:cs="宋体"/>
          <w:bCs/>
          <w:color w:val="000000"/>
          <w:szCs w:val="21"/>
          <w:highlight w:val="none"/>
        </w:rPr>
        <w:t>分</w:t>
      </w:r>
      <w:r>
        <w:rPr>
          <w:rFonts w:hint="eastAsia" w:ascii="宋体" w:hAnsi="宋体" w:cs="宋体"/>
          <w:bCs/>
          <w:szCs w:val="21"/>
          <w:highlight w:val="none"/>
        </w:rPr>
        <w:t xml:space="preserve"> ………………………………………………………………………</w:t>
      </w:r>
      <w:r>
        <w:rPr>
          <w:rFonts w:hint="eastAsia" w:ascii="宋体" w:hAnsi="宋体" w:cs="宋体"/>
          <w:bCs/>
          <w:szCs w:val="21"/>
          <w:highlight w:val="none"/>
          <w:lang w:val="en-US" w:eastAsia="zh-CN"/>
        </w:rPr>
        <w:t>15</w:t>
      </w:r>
      <w:r>
        <w:rPr>
          <w:rFonts w:hint="eastAsia" w:ascii="宋体" w:hAnsi="宋体" w:cs="宋体"/>
          <w:bCs/>
          <w:szCs w:val="21"/>
          <w:highlight w:val="none"/>
        </w:rPr>
        <w:t>分</w:t>
      </w:r>
    </w:p>
    <w:bookmarkEnd w:id="10"/>
    <w:bookmarkEnd w:id="11"/>
    <w:bookmarkEnd w:id="12"/>
    <w:bookmarkEnd w:id="13"/>
    <w:bookmarkEnd w:id="14"/>
    <w:p>
      <w:pPr>
        <w:autoSpaceDE w:val="0"/>
        <w:autoSpaceDN w:val="0"/>
        <w:adjustRightIn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由评标委员会根据</w:t>
      </w:r>
      <w:r>
        <w:rPr>
          <w:rFonts w:hint="eastAsia" w:ascii="宋体" w:hAnsi="宋体" w:cs="宋体"/>
          <w:bCs/>
          <w:szCs w:val="21"/>
          <w:highlight w:val="none"/>
          <w:lang w:eastAsia="zh-CN"/>
        </w:rPr>
        <w:t>供应商</w:t>
      </w:r>
      <w:r>
        <w:rPr>
          <w:rFonts w:hint="eastAsia" w:ascii="宋体" w:hAnsi="宋体" w:cs="宋体"/>
          <w:bCs/>
          <w:szCs w:val="21"/>
          <w:highlight w:val="none"/>
        </w:rPr>
        <w:t>的售后服务方案，从技术支持、服务人员配置、定期回访安排、排除故障时间等方面集体讨论确定各</w:t>
      </w:r>
      <w:r>
        <w:rPr>
          <w:rFonts w:hint="eastAsia" w:ascii="宋体" w:hAnsi="宋体" w:cs="宋体"/>
          <w:bCs/>
          <w:szCs w:val="21"/>
          <w:highlight w:val="none"/>
          <w:lang w:eastAsia="zh-CN"/>
        </w:rPr>
        <w:t>供应商</w:t>
      </w:r>
      <w:r>
        <w:rPr>
          <w:rFonts w:hint="eastAsia" w:ascii="宋体" w:hAnsi="宋体" w:cs="宋体"/>
          <w:bCs/>
          <w:szCs w:val="21"/>
          <w:highlight w:val="none"/>
        </w:rPr>
        <w:t xml:space="preserve">所属档次，然后评委在各档次内独立打分（满分 </w:t>
      </w:r>
      <w:r>
        <w:rPr>
          <w:rFonts w:hint="eastAsia" w:ascii="宋体" w:hAnsi="宋体" w:cs="宋体"/>
          <w:bCs/>
          <w:szCs w:val="21"/>
          <w:highlight w:val="none"/>
          <w:lang w:val="en-US" w:eastAsia="zh-CN"/>
        </w:rPr>
        <w:t>10</w:t>
      </w:r>
      <w:r>
        <w:rPr>
          <w:rFonts w:hint="eastAsia" w:ascii="宋体" w:hAnsi="宋体" w:cs="宋体"/>
          <w:bCs/>
          <w:szCs w:val="21"/>
          <w:highlight w:val="none"/>
        </w:rPr>
        <w:t>分）。</w:t>
      </w:r>
    </w:p>
    <w:p>
      <w:pPr>
        <w:autoSpaceDE w:val="0"/>
        <w:autoSpaceDN w:val="0"/>
        <w:adjustRightIn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一档：（</w:t>
      </w:r>
      <w:r>
        <w:rPr>
          <w:rFonts w:hint="eastAsia" w:ascii="宋体" w:hAnsi="宋体" w:cs="宋体"/>
          <w:bCs/>
          <w:szCs w:val="21"/>
          <w:highlight w:val="none"/>
          <w:lang w:val="en-US" w:eastAsia="zh-CN"/>
        </w:rPr>
        <w:t>0-5</w:t>
      </w:r>
      <w:r>
        <w:rPr>
          <w:rFonts w:hint="eastAsia" w:ascii="宋体" w:hAnsi="宋体" w:cs="宋体"/>
          <w:bCs/>
          <w:szCs w:val="21"/>
          <w:highlight w:val="none"/>
        </w:rPr>
        <w:t xml:space="preserve"> 分）售后服务方案简单，安装方案，</w:t>
      </w:r>
      <w:r>
        <w:rPr>
          <w:rFonts w:hint="eastAsia" w:ascii="宋体" w:hAnsi="宋体" w:cs="宋体"/>
          <w:bCs/>
          <w:szCs w:val="21"/>
          <w:highlight w:val="none"/>
          <w:lang w:eastAsia="zh-CN"/>
        </w:rPr>
        <w:t>实施方案</w:t>
      </w:r>
      <w:r>
        <w:rPr>
          <w:rFonts w:hint="eastAsia" w:ascii="宋体" w:hAnsi="宋体" w:cs="宋体"/>
          <w:bCs/>
          <w:szCs w:val="21"/>
          <w:highlight w:val="none"/>
        </w:rPr>
        <w:t>、服务人员配置、定期回访安排、排除故障时间基本满足</w:t>
      </w:r>
      <w:r>
        <w:rPr>
          <w:rFonts w:hint="eastAsia" w:ascii="宋体" w:hAnsi="宋体" w:cs="宋体"/>
          <w:bCs/>
          <w:szCs w:val="21"/>
          <w:highlight w:val="none"/>
          <w:lang w:eastAsia="zh-CN"/>
        </w:rPr>
        <w:t>采购文件</w:t>
      </w:r>
      <w:r>
        <w:rPr>
          <w:rFonts w:hint="eastAsia" w:ascii="宋体" w:hAnsi="宋体" w:cs="宋体"/>
          <w:bCs/>
          <w:szCs w:val="21"/>
          <w:highlight w:val="none"/>
        </w:rPr>
        <w:t>要求；</w:t>
      </w:r>
    </w:p>
    <w:p>
      <w:pPr>
        <w:autoSpaceDE w:val="0"/>
        <w:autoSpaceDN w:val="0"/>
        <w:adjustRightIn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eastAsia="zh-CN"/>
        </w:rPr>
        <w:t>二</w:t>
      </w:r>
      <w:r>
        <w:rPr>
          <w:rFonts w:hint="eastAsia" w:ascii="宋体" w:hAnsi="宋体" w:cs="宋体"/>
          <w:bCs/>
          <w:szCs w:val="21"/>
          <w:highlight w:val="none"/>
        </w:rPr>
        <w:t>档：（</w:t>
      </w:r>
      <w:r>
        <w:rPr>
          <w:rFonts w:hint="eastAsia" w:ascii="宋体" w:hAnsi="宋体" w:cs="宋体"/>
          <w:bCs/>
          <w:szCs w:val="21"/>
          <w:highlight w:val="none"/>
          <w:lang w:val="en-US" w:eastAsia="zh-CN"/>
        </w:rPr>
        <w:t>5.1-9</w:t>
      </w:r>
      <w:r>
        <w:rPr>
          <w:rFonts w:hint="eastAsia" w:ascii="宋体" w:hAnsi="宋体" w:cs="宋体"/>
          <w:bCs/>
          <w:szCs w:val="21"/>
          <w:highlight w:val="none"/>
        </w:rPr>
        <w:t>分）售后服务方案简单，安装方案，</w:t>
      </w:r>
      <w:r>
        <w:rPr>
          <w:rFonts w:hint="eastAsia" w:ascii="宋体" w:hAnsi="宋体" w:cs="宋体"/>
          <w:bCs/>
          <w:szCs w:val="21"/>
          <w:highlight w:val="none"/>
          <w:lang w:eastAsia="zh-CN"/>
        </w:rPr>
        <w:t>实施方案</w:t>
      </w:r>
      <w:r>
        <w:rPr>
          <w:rFonts w:hint="eastAsia" w:ascii="宋体" w:hAnsi="宋体" w:cs="宋体"/>
          <w:bCs/>
          <w:szCs w:val="21"/>
          <w:highlight w:val="none"/>
        </w:rPr>
        <w:t>、服务人员配置、定期回访安排、排除故障时间满足并优于</w:t>
      </w:r>
      <w:r>
        <w:rPr>
          <w:rFonts w:hint="eastAsia" w:ascii="宋体" w:hAnsi="宋体" w:cs="宋体"/>
          <w:bCs/>
          <w:szCs w:val="21"/>
          <w:highlight w:val="none"/>
          <w:lang w:eastAsia="zh-CN"/>
        </w:rPr>
        <w:t>采购文件</w:t>
      </w:r>
      <w:r>
        <w:rPr>
          <w:rFonts w:hint="eastAsia" w:ascii="宋体" w:hAnsi="宋体" w:cs="宋体"/>
          <w:bCs/>
          <w:szCs w:val="21"/>
          <w:highlight w:val="none"/>
        </w:rPr>
        <w:t>要求；</w:t>
      </w:r>
    </w:p>
    <w:p>
      <w:pPr>
        <w:autoSpaceDE w:val="0"/>
        <w:autoSpaceDN w:val="0"/>
        <w:adjustRightIn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lang w:eastAsia="zh-CN"/>
        </w:rPr>
        <w:t>三</w:t>
      </w:r>
      <w:r>
        <w:rPr>
          <w:rFonts w:hint="eastAsia" w:ascii="宋体" w:hAnsi="宋体" w:cs="宋体"/>
          <w:bCs/>
          <w:szCs w:val="21"/>
          <w:highlight w:val="none"/>
        </w:rPr>
        <w:t>档：（</w:t>
      </w:r>
      <w:r>
        <w:rPr>
          <w:rFonts w:hint="eastAsia" w:ascii="宋体" w:hAnsi="宋体" w:cs="宋体"/>
          <w:bCs/>
          <w:szCs w:val="21"/>
          <w:highlight w:val="none"/>
          <w:lang w:val="en-US" w:eastAsia="zh-CN"/>
        </w:rPr>
        <w:t>9.1-13</w:t>
      </w:r>
      <w:r>
        <w:rPr>
          <w:rFonts w:hint="eastAsia" w:ascii="宋体" w:hAnsi="宋体" w:cs="宋体"/>
          <w:bCs/>
          <w:szCs w:val="21"/>
          <w:highlight w:val="none"/>
        </w:rPr>
        <w:t xml:space="preserve"> 分）售后服务方案详细，详细的安装方案，各系统调试方案和验收方案完整、合理</w:t>
      </w:r>
      <w:r>
        <w:rPr>
          <w:rFonts w:hint="eastAsia" w:ascii="宋体" w:hAnsi="宋体" w:cs="宋体"/>
          <w:bCs/>
          <w:szCs w:val="21"/>
          <w:highlight w:val="none"/>
          <w:lang w:eastAsia="zh-CN"/>
        </w:rPr>
        <w:t>实施方案</w:t>
      </w:r>
      <w:r>
        <w:rPr>
          <w:rFonts w:hint="eastAsia" w:ascii="宋体" w:hAnsi="宋体" w:cs="宋体"/>
          <w:bCs/>
          <w:szCs w:val="21"/>
          <w:highlight w:val="none"/>
        </w:rPr>
        <w:t>安排、有完整的项目组织机构及人员配备且合理的、提供定期回访安排、在 24 小时内不能修复故障设备的，提供同档次设备供用户使用；</w:t>
      </w:r>
      <w:r>
        <w:rPr>
          <w:rFonts w:hint="eastAsia" w:ascii="宋体" w:hAnsi="宋体" w:cs="宋体"/>
          <w:bCs/>
          <w:szCs w:val="21"/>
          <w:highlight w:val="none"/>
          <w:lang w:eastAsia="zh-CN"/>
        </w:rPr>
        <w:t>采购文件</w:t>
      </w:r>
      <w:r>
        <w:rPr>
          <w:rFonts w:hint="eastAsia" w:ascii="宋体" w:hAnsi="宋体" w:cs="宋体"/>
          <w:bCs/>
          <w:szCs w:val="21"/>
          <w:highlight w:val="none"/>
        </w:rPr>
        <w:t>有保修期要求的：在满足基本保修期后，免费保修期每延长每半年</w:t>
      </w:r>
      <w:r>
        <w:rPr>
          <w:rFonts w:hint="eastAsia" w:ascii="宋体" w:hAnsi="宋体" w:cs="宋体"/>
          <w:bCs/>
          <w:szCs w:val="21"/>
          <w:highlight w:val="none"/>
          <w:lang w:eastAsia="zh-CN"/>
        </w:rPr>
        <w:t>及以上的</w:t>
      </w:r>
      <w:r>
        <w:rPr>
          <w:rFonts w:hint="eastAsia" w:ascii="宋体" w:hAnsi="宋体" w:cs="宋体"/>
          <w:bCs/>
          <w:szCs w:val="21"/>
          <w:highlight w:val="none"/>
        </w:rPr>
        <w:t>（以设备生产厂家承诺为准）</w:t>
      </w:r>
    </w:p>
    <w:p>
      <w:pPr>
        <w:autoSpaceDE w:val="0"/>
        <w:autoSpaceDN w:val="0"/>
        <w:adjustRightInd w:val="0"/>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总得分=（一）+（二）</w:t>
      </w:r>
      <w:r>
        <w:rPr>
          <w:rFonts w:hint="eastAsia" w:ascii="宋体" w:hAnsi="宋体" w:cs="宋体"/>
          <w:bCs/>
          <w:szCs w:val="21"/>
          <w:highlight w:val="none"/>
          <w:lang w:val="en-US" w:eastAsia="zh-CN"/>
        </w:rPr>
        <w:t>+（三）+（四）</w:t>
      </w:r>
      <w:r>
        <w:rPr>
          <w:rFonts w:hint="eastAsia" w:ascii="宋体" w:hAnsi="宋体" w:cs="宋体"/>
          <w:bCs/>
          <w:szCs w:val="21"/>
          <w:highlight w:val="none"/>
        </w:rPr>
        <w:t>。</w:t>
      </w:r>
    </w:p>
    <w:p>
      <w:pPr>
        <w:pStyle w:val="13"/>
        <w:spacing w:line="360" w:lineRule="auto"/>
        <w:rPr>
          <w:rFonts w:hint="eastAsia" w:hAnsi="宋体" w:cs="宋体"/>
          <w:b/>
          <w:bCs/>
          <w:highlight w:val="none"/>
        </w:rPr>
      </w:pPr>
      <w:r>
        <w:rPr>
          <w:rFonts w:hint="eastAsia" w:hAnsi="宋体" w:cs="宋体"/>
          <w:b/>
          <w:bCs/>
          <w:highlight w:val="none"/>
        </w:rPr>
        <w:t>三、成交候选供应商推荐原则</w:t>
      </w:r>
    </w:p>
    <w:p>
      <w:pPr>
        <w:pStyle w:val="13"/>
        <w:spacing w:line="360" w:lineRule="auto"/>
        <w:ind w:firstLine="420"/>
        <w:rPr>
          <w:rFonts w:hint="eastAsia" w:hAnsi="宋体" w:cs="宋体"/>
          <w:highlight w:val="none"/>
        </w:rPr>
      </w:pPr>
      <w:r>
        <w:rPr>
          <w:rFonts w:hint="eastAsia" w:hAnsi="宋体" w:cs="宋体"/>
          <w:highlight w:val="none"/>
        </w:rPr>
        <w:t>（一）</w:t>
      </w:r>
      <w:r>
        <w:rPr>
          <w:rFonts w:hint="eastAsia" w:hAnsi="宋体" w:cs="宋体"/>
          <w:highlight w:val="none"/>
          <w:lang w:eastAsia="zh-CN"/>
        </w:rPr>
        <w:t>评审</w:t>
      </w:r>
      <w:r>
        <w:rPr>
          <w:rFonts w:hint="eastAsia" w:hAnsi="宋体" w:cs="宋体"/>
          <w:highlight w:val="none"/>
        </w:rPr>
        <w:t>小组应当根据综合评分情况，按照评审得分由高到低顺序推荐3名成交候选供应商（提交最后报价的供应商仅有2名的，可以推荐2名成交候选供应商），并编写评审报告。评审得分相同的，按照最后报价由低到高的顺序推荐；若仍相同的，按照实施方案计分高低顺序推荐。采购人应按排序从高到低的原则确定成交供应商。</w:t>
      </w:r>
    </w:p>
    <w:p>
      <w:pPr>
        <w:pStyle w:val="13"/>
        <w:spacing w:line="360" w:lineRule="auto"/>
        <w:ind w:firstLine="420"/>
        <w:rPr>
          <w:rFonts w:hint="eastAsia" w:hAnsi="宋体" w:cs="宋体"/>
          <w:highlight w:val="none"/>
        </w:rPr>
      </w:pPr>
      <w:r>
        <w:rPr>
          <w:rFonts w:hint="eastAsia" w:hAnsi="宋体" w:cs="宋体"/>
          <w:highlight w:val="none"/>
        </w:rPr>
        <w:t>（二）成交供应商拒绝签订采购合同的，采购人可以按照上款规定的原则确定其他候选供应商作为成交供应商并签订采购合同，也可以重新开展采购活动。拒绝签订采购合同的成交供应商不得参加对该项目重新开展的采购活动。</w:t>
      </w:r>
    </w:p>
    <w:p>
      <w:pPr>
        <w:pStyle w:val="13"/>
        <w:spacing w:line="360" w:lineRule="auto"/>
        <w:ind w:firstLine="420"/>
        <w:rPr>
          <w:rFonts w:hint="eastAsia" w:hAnsi="宋体" w:cs="宋体"/>
          <w:bCs/>
          <w:highlight w:val="none"/>
        </w:rPr>
      </w:pPr>
      <w:r>
        <w:rPr>
          <w:rFonts w:hint="eastAsia" w:hAnsi="宋体" w:cs="宋体"/>
          <w:highlight w:val="none"/>
        </w:rPr>
        <w:t>（三）</w:t>
      </w:r>
      <w:r>
        <w:rPr>
          <w:rFonts w:hint="eastAsia" w:hAnsi="宋体" w:cs="宋体"/>
          <w:highlight w:val="none"/>
          <w:lang w:eastAsia="zh-CN"/>
        </w:rPr>
        <w:t>评审</w:t>
      </w:r>
      <w:r>
        <w:rPr>
          <w:rFonts w:hint="eastAsia" w:hAnsi="宋体" w:cs="宋体"/>
          <w:highlight w:val="none"/>
        </w:rPr>
        <w:t>小组认为，某供应商的响应报价或者某些分项报价明显不合理或者低于成本，有可能影响质量和不能诚信履约的，应要求其在规定的期限内提供书面文件予以解释说明，并提交相关证明材料，否则，</w:t>
      </w:r>
      <w:r>
        <w:rPr>
          <w:rFonts w:hint="eastAsia" w:hAnsi="宋体" w:cs="宋体"/>
          <w:highlight w:val="none"/>
          <w:lang w:eastAsia="zh-CN"/>
        </w:rPr>
        <w:t>评审</w:t>
      </w:r>
      <w:r>
        <w:rPr>
          <w:rFonts w:hint="eastAsia" w:hAnsi="宋体" w:cs="宋体"/>
          <w:highlight w:val="none"/>
        </w:rPr>
        <w:t>小组可以取消该供应商的成交候选资格，按顺序由排在其后面的供应商递补，以此类推。</w:t>
      </w:r>
    </w:p>
    <w:p>
      <w:pPr>
        <w:pStyle w:val="43"/>
        <w:numPr>
          <w:ilvl w:val="-1"/>
          <w:numId w:val="0"/>
        </w:numPr>
        <w:jc w:val="both"/>
        <w:rPr>
          <w:rFonts w:hint="eastAsia"/>
          <w:lang w:val="en-US" w:eastAsia="zh-CN"/>
        </w:rPr>
      </w:pPr>
      <w:r>
        <w:rPr>
          <w:rFonts w:hint="eastAsia" w:ascii="宋体" w:hAnsi="宋体" w:eastAsia="宋体" w:cs="宋体"/>
          <w:b/>
          <w:bCs/>
          <w:sz w:val="24"/>
          <w:szCs w:val="24"/>
          <w:lang w:val="en-US" w:eastAsia="zh-CN" w:bidi="zh-CN"/>
        </w:rPr>
        <w:br w:type="page"/>
      </w:r>
    </w:p>
    <w:p>
      <w:pPr>
        <w:ind w:firstLine="2249" w:firstLineChars="800"/>
        <w:rPr>
          <w:rFonts w:hint="eastAsia" w:ascii="宋体" w:hAnsi="宋体" w:eastAsia="宋体" w:cs="宋体"/>
          <w:b/>
          <w:sz w:val="28"/>
          <w:szCs w:val="28"/>
        </w:rPr>
      </w:pPr>
      <w:r>
        <w:rPr>
          <w:rFonts w:hint="eastAsia" w:ascii="宋体" w:hAnsi="宋体" w:eastAsia="宋体" w:cs="宋体"/>
          <w:b/>
          <w:sz w:val="28"/>
          <w:szCs w:val="28"/>
        </w:rPr>
        <w:t xml:space="preserve"> </w:t>
      </w:r>
      <w:r>
        <w:rPr>
          <w:rFonts w:hint="eastAsia" w:ascii="宋体" w:hAnsi="宋体" w:eastAsia="宋体" w:cs="宋体"/>
          <w:b/>
          <w:sz w:val="28"/>
          <w:szCs w:val="28"/>
          <w:lang w:val="en-US" w:eastAsia="zh-CN"/>
        </w:rPr>
        <w:t>第四章</w:t>
      </w:r>
      <w:r>
        <w:rPr>
          <w:rFonts w:hint="eastAsia" w:ascii="宋体" w:hAnsi="宋体" w:eastAsia="宋体" w:cs="宋体"/>
          <w:b/>
          <w:sz w:val="28"/>
          <w:szCs w:val="28"/>
        </w:rPr>
        <w:t>：通用合同条款</w:t>
      </w:r>
    </w:p>
    <w:p>
      <w:pPr>
        <w:rPr>
          <w:rFonts w:hint="eastAsia" w:ascii="宋体" w:hAnsi="宋体" w:eastAsia="宋体" w:cs="宋体"/>
          <w:sz w:val="21"/>
          <w:szCs w:val="21"/>
        </w:rPr>
      </w:pPr>
      <w:r>
        <w:rPr>
          <w:rFonts w:hint="eastAsia" w:ascii="宋体" w:hAnsi="宋体" w:eastAsia="宋体" w:cs="宋体"/>
          <w:b/>
          <w:sz w:val="21"/>
          <w:szCs w:val="21"/>
          <w:lang w:val="en-US" w:eastAsia="zh-CN"/>
        </w:rPr>
        <w:t xml:space="preserve"> </w:t>
      </w:r>
      <w:r>
        <w:rPr>
          <w:rFonts w:hint="eastAsia" w:ascii="宋体" w:hAnsi="宋体" w:eastAsia="宋体" w:cs="宋体"/>
          <w:sz w:val="21"/>
          <w:szCs w:val="21"/>
          <w:lang w:val="en-US" w:eastAsia="zh-CN"/>
        </w:rPr>
        <w:t>甲</w:t>
      </w:r>
      <w:r>
        <w:rPr>
          <w:rFonts w:hint="eastAsia" w:ascii="宋体" w:hAnsi="宋体" w:eastAsia="宋体" w:cs="宋体"/>
          <w:sz w:val="21"/>
          <w:szCs w:val="21"/>
        </w:rPr>
        <w:t>、乙双方经友好协商，就甲方向乙方进行</w:t>
      </w:r>
      <w:r>
        <w:rPr>
          <w:rFonts w:hint="eastAsia" w:ascii="宋体" w:hAnsi="宋体" w:eastAsia="宋体" w:cs="宋体"/>
          <w:sz w:val="21"/>
          <w:szCs w:val="21"/>
          <w:u w:val="single"/>
        </w:rPr>
        <w:t xml:space="preserve">    </w:t>
      </w:r>
      <w:r>
        <w:rPr>
          <w:rFonts w:hint="eastAsia" w:ascii="宋体" w:hAnsi="宋体" w:eastAsia="宋体" w:cs="宋体"/>
          <w:sz w:val="21"/>
          <w:szCs w:val="21"/>
        </w:rPr>
        <w:t>采购相关事宜达成一致后签署本合同。</w:t>
      </w:r>
    </w:p>
    <w:p>
      <w:pPr>
        <w:tabs>
          <w:tab w:val="left" w:pos="0"/>
        </w:tabs>
        <w:spacing w:line="300" w:lineRule="atLeast"/>
        <w:contextualSpacing/>
        <w:rPr>
          <w:rFonts w:hint="eastAsia" w:ascii="宋体" w:hAnsi="宋体" w:eastAsia="宋体" w:cs="宋体"/>
          <w:b/>
          <w:sz w:val="21"/>
          <w:szCs w:val="21"/>
        </w:rPr>
      </w:pPr>
      <w:r>
        <w:rPr>
          <w:rFonts w:hint="eastAsia" w:ascii="宋体" w:hAnsi="宋体" w:eastAsia="宋体" w:cs="宋体"/>
          <w:b/>
          <w:sz w:val="21"/>
          <w:szCs w:val="21"/>
        </w:rPr>
        <w:t>一、 供货范围及金额</w:t>
      </w:r>
    </w:p>
    <w:tbl>
      <w:tblPr>
        <w:tblStyle w:val="23"/>
        <w:tblW w:w="48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3524"/>
        <w:gridCol w:w="669"/>
        <w:gridCol w:w="836"/>
        <w:gridCol w:w="1666"/>
        <w:gridCol w:w="1666"/>
        <w:gridCol w:w="255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86"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货物/产品名称</w:t>
            </w:r>
          </w:p>
        </w:tc>
        <w:tc>
          <w:tcPr>
            <w:tcW w:w="1269" w:type="pct"/>
            <w:shd w:val="clear" w:color="auto" w:fill="auto"/>
            <w:vAlign w:val="center"/>
          </w:tcPr>
          <w:p>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规格</w:t>
            </w:r>
          </w:p>
        </w:tc>
        <w:tc>
          <w:tcPr>
            <w:tcW w:w="241"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单位</w:t>
            </w:r>
          </w:p>
        </w:tc>
        <w:tc>
          <w:tcPr>
            <w:tcW w:w="301" w:type="pct"/>
            <w:shd w:val="clear" w:color="auto" w:fill="auto"/>
            <w:vAlign w:val="center"/>
          </w:tcPr>
          <w:p>
            <w:pPr>
              <w:widowControl/>
              <w:ind w:firstLine="105" w:firstLineChars="50"/>
              <w:jc w:val="center"/>
              <w:rPr>
                <w:rFonts w:hint="eastAsia" w:ascii="宋体" w:hAnsi="宋体" w:eastAsia="宋体" w:cs="宋体"/>
                <w:kern w:val="0"/>
                <w:sz w:val="21"/>
                <w:szCs w:val="21"/>
              </w:rPr>
            </w:pPr>
            <w:r>
              <w:rPr>
                <w:rFonts w:hint="eastAsia" w:ascii="宋体" w:hAnsi="宋体" w:eastAsia="宋体" w:cs="宋体"/>
                <w:kern w:val="0"/>
                <w:sz w:val="21"/>
                <w:szCs w:val="21"/>
              </w:rPr>
              <w:t>数量</w:t>
            </w:r>
          </w:p>
        </w:tc>
        <w:tc>
          <w:tcPr>
            <w:tcW w:w="600"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单价</w:t>
            </w:r>
          </w:p>
        </w:tc>
        <w:tc>
          <w:tcPr>
            <w:tcW w:w="600" w:type="pct"/>
            <w:vAlign w:val="center"/>
          </w:tcPr>
          <w:p>
            <w:pPr>
              <w:widowControl/>
              <w:jc w:val="distribute"/>
              <w:rPr>
                <w:rFonts w:hint="eastAsia" w:ascii="宋体" w:hAnsi="宋体" w:eastAsia="宋体" w:cs="宋体"/>
                <w:kern w:val="0"/>
                <w:sz w:val="21"/>
                <w:szCs w:val="21"/>
              </w:rPr>
            </w:pPr>
            <w:r>
              <w:rPr>
                <w:rFonts w:hint="eastAsia" w:ascii="宋体" w:hAnsi="宋体" w:eastAsia="宋体" w:cs="宋体"/>
                <w:kern w:val="0"/>
                <w:sz w:val="21"/>
                <w:szCs w:val="21"/>
              </w:rPr>
              <w:t>总价</w:t>
            </w:r>
          </w:p>
        </w:tc>
        <w:tc>
          <w:tcPr>
            <w:tcW w:w="921" w:type="pct"/>
            <w:shd w:val="clear" w:color="auto" w:fill="auto"/>
            <w:vAlign w:val="center"/>
          </w:tcPr>
          <w:p>
            <w:pPr>
              <w:widowControl/>
              <w:ind w:firstLine="315" w:firstLineChars="150"/>
              <w:jc w:val="center"/>
              <w:rPr>
                <w:rFonts w:hint="eastAsia" w:ascii="宋体" w:hAnsi="宋体" w:eastAsia="宋体" w:cs="宋体"/>
                <w:kern w:val="0"/>
                <w:sz w:val="21"/>
                <w:szCs w:val="21"/>
              </w:rPr>
            </w:pPr>
            <w:r>
              <w:rPr>
                <w:rFonts w:hint="eastAsia" w:ascii="宋体" w:hAnsi="宋体" w:eastAsia="宋体" w:cs="宋体"/>
                <w:kern w:val="0"/>
                <w:sz w:val="21"/>
                <w:szCs w:val="21"/>
              </w:rPr>
              <w:t>交货时间</w:t>
            </w:r>
          </w:p>
        </w:tc>
        <w:tc>
          <w:tcPr>
            <w:tcW w:w="580" w:type="pct"/>
            <w:vAlign w:val="center"/>
          </w:tcPr>
          <w:p>
            <w:pPr>
              <w:widowControl/>
              <w:ind w:firstLine="315" w:firstLineChars="150"/>
              <w:jc w:val="center"/>
              <w:rPr>
                <w:rFonts w:hint="eastAsia" w:ascii="宋体" w:hAnsi="宋体" w:eastAsia="宋体" w:cs="宋体"/>
                <w:kern w:val="0"/>
                <w:sz w:val="21"/>
                <w:szCs w:val="21"/>
              </w:rPr>
            </w:pPr>
            <w:r>
              <w:rPr>
                <w:rFonts w:hint="eastAsia" w:ascii="宋体" w:hAnsi="宋体" w:eastAsia="宋体" w:cs="宋体"/>
                <w:kern w:val="0"/>
                <w:sz w:val="21"/>
                <w:szCs w:val="21"/>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486" w:type="pct"/>
            <w:shd w:val="clear" w:color="auto" w:fill="auto"/>
            <w:vAlign w:val="center"/>
          </w:tcPr>
          <w:p>
            <w:pPr>
              <w:jc w:val="center"/>
              <w:rPr>
                <w:rFonts w:hint="eastAsia" w:ascii="宋体" w:hAnsi="宋体" w:eastAsia="宋体" w:cs="宋体"/>
                <w:sz w:val="21"/>
                <w:szCs w:val="21"/>
              </w:rPr>
            </w:pPr>
          </w:p>
        </w:tc>
        <w:tc>
          <w:tcPr>
            <w:tcW w:w="1269" w:type="pct"/>
            <w:shd w:val="clear" w:color="auto" w:fill="auto"/>
            <w:vAlign w:val="center"/>
          </w:tcPr>
          <w:p>
            <w:pPr>
              <w:pStyle w:val="28"/>
              <w:jc w:val="center"/>
              <w:rPr>
                <w:rFonts w:hint="eastAsia" w:ascii="宋体" w:hAnsi="宋体" w:eastAsia="宋体" w:cs="宋体"/>
                <w:sz w:val="21"/>
                <w:szCs w:val="21"/>
              </w:rPr>
            </w:pPr>
          </w:p>
          <w:p>
            <w:pPr>
              <w:widowControl/>
              <w:jc w:val="center"/>
              <w:rPr>
                <w:rFonts w:hint="eastAsia" w:ascii="宋体" w:hAnsi="宋体" w:eastAsia="宋体" w:cs="宋体"/>
                <w:kern w:val="0"/>
                <w:sz w:val="21"/>
                <w:szCs w:val="21"/>
              </w:rPr>
            </w:pPr>
          </w:p>
        </w:tc>
        <w:tc>
          <w:tcPr>
            <w:tcW w:w="241" w:type="pct"/>
            <w:shd w:val="clear" w:color="auto" w:fill="auto"/>
            <w:vAlign w:val="center"/>
          </w:tcPr>
          <w:p>
            <w:pPr>
              <w:widowControl/>
              <w:jc w:val="center"/>
              <w:rPr>
                <w:rFonts w:hint="eastAsia" w:ascii="宋体" w:hAnsi="宋体" w:eastAsia="宋体" w:cs="宋体"/>
                <w:kern w:val="0"/>
                <w:sz w:val="21"/>
                <w:szCs w:val="21"/>
              </w:rPr>
            </w:pPr>
          </w:p>
        </w:tc>
        <w:tc>
          <w:tcPr>
            <w:tcW w:w="301" w:type="pct"/>
            <w:shd w:val="clear" w:color="auto" w:fill="auto"/>
            <w:vAlign w:val="center"/>
          </w:tcPr>
          <w:p>
            <w:pPr>
              <w:jc w:val="center"/>
              <w:rPr>
                <w:rFonts w:hint="eastAsia" w:ascii="宋体" w:hAnsi="宋体" w:eastAsia="宋体" w:cs="宋体"/>
                <w:sz w:val="21"/>
                <w:szCs w:val="21"/>
              </w:rPr>
            </w:pPr>
          </w:p>
        </w:tc>
        <w:tc>
          <w:tcPr>
            <w:tcW w:w="600" w:type="pct"/>
            <w:shd w:val="clear" w:color="auto" w:fill="auto"/>
            <w:vAlign w:val="center"/>
          </w:tcPr>
          <w:p>
            <w:pPr>
              <w:widowControl/>
              <w:jc w:val="center"/>
              <w:rPr>
                <w:rFonts w:hint="eastAsia" w:ascii="宋体" w:hAnsi="宋体" w:eastAsia="宋体" w:cs="宋体"/>
                <w:kern w:val="0"/>
                <w:sz w:val="21"/>
                <w:szCs w:val="21"/>
              </w:rPr>
            </w:pPr>
          </w:p>
        </w:tc>
        <w:tc>
          <w:tcPr>
            <w:tcW w:w="600" w:type="pct"/>
            <w:vAlign w:val="center"/>
          </w:tcPr>
          <w:p>
            <w:pPr>
              <w:widowControl/>
              <w:jc w:val="center"/>
              <w:rPr>
                <w:rFonts w:hint="eastAsia" w:ascii="宋体" w:hAnsi="宋体" w:eastAsia="宋体" w:cs="宋体"/>
                <w:kern w:val="0"/>
                <w:sz w:val="21"/>
                <w:szCs w:val="21"/>
              </w:rPr>
            </w:pPr>
          </w:p>
        </w:tc>
        <w:tc>
          <w:tcPr>
            <w:tcW w:w="921" w:type="pct"/>
            <w:shd w:val="clear" w:color="auto" w:fill="auto"/>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sz w:val="21"/>
                <w:szCs w:val="21"/>
                <w:lang w:val="en-US" w:eastAsia="zh-CN"/>
              </w:rPr>
              <w:t>10个工作日内</w:t>
            </w:r>
          </w:p>
        </w:tc>
        <w:tc>
          <w:tcPr>
            <w:tcW w:w="580" w:type="pct"/>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shd w:val="clear" w:color="auto" w:fill="auto"/>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合同总价：</w:t>
            </w:r>
          </w:p>
        </w:tc>
        <w:tc>
          <w:tcPr>
            <w:tcW w:w="4514" w:type="pct"/>
            <w:gridSpan w:val="7"/>
          </w:tcPr>
          <w:p>
            <w:pPr>
              <w:widowControl/>
              <w:rPr>
                <w:rFonts w:hint="eastAsia" w:ascii="宋体" w:hAnsi="宋体" w:eastAsia="宋体" w:cs="宋体"/>
                <w:kern w:val="0"/>
                <w:sz w:val="21"/>
                <w:szCs w:val="21"/>
              </w:rPr>
            </w:pPr>
            <w:r>
              <w:rPr>
                <w:rFonts w:hint="eastAsia" w:ascii="宋体" w:hAnsi="宋体" w:eastAsia="宋体" w:cs="宋体"/>
                <w:kern w:val="0"/>
                <w:sz w:val="21"/>
                <w:szCs w:val="21"/>
              </w:rPr>
              <w:t>含税金额：RMB</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元，（大写）人民币</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486" w:type="pct"/>
            <w:shd w:val="clear" w:color="auto" w:fill="auto"/>
            <w:vAlign w:val="center"/>
          </w:tcPr>
          <w:p>
            <w:pPr>
              <w:jc w:val="center"/>
              <w:rPr>
                <w:rFonts w:hint="eastAsia" w:ascii="宋体" w:hAnsi="宋体" w:eastAsia="宋体" w:cs="宋体"/>
                <w:sz w:val="21"/>
                <w:szCs w:val="21"/>
              </w:rPr>
            </w:pPr>
            <w:r>
              <w:rPr>
                <w:rFonts w:hint="eastAsia" w:ascii="宋体" w:hAnsi="宋体" w:eastAsia="宋体" w:cs="宋体"/>
                <w:sz w:val="21"/>
                <w:szCs w:val="21"/>
              </w:rPr>
              <w:t>备注：</w:t>
            </w:r>
          </w:p>
        </w:tc>
        <w:tc>
          <w:tcPr>
            <w:tcW w:w="4514" w:type="pct"/>
            <w:gridSpan w:val="7"/>
          </w:tcPr>
          <w:p>
            <w:pPr>
              <w:widowControl/>
              <w:ind w:left="-20" w:leftChars="-10" w:hanging="1"/>
              <w:jc w:val="left"/>
              <w:rPr>
                <w:rFonts w:hint="eastAsia" w:ascii="宋体" w:hAnsi="宋体" w:eastAsia="宋体" w:cs="宋体"/>
                <w:kern w:val="0"/>
                <w:sz w:val="21"/>
                <w:szCs w:val="21"/>
              </w:rPr>
            </w:pPr>
            <w:r>
              <w:rPr>
                <w:rFonts w:hint="eastAsia" w:ascii="宋体" w:hAnsi="宋体" w:eastAsia="宋体" w:cs="宋体"/>
                <w:kern w:val="0"/>
                <w:sz w:val="21"/>
                <w:szCs w:val="21"/>
              </w:rPr>
              <w:t>1.以上金额包含但不限于产品价格、产品的包装费、产品保质及售后服务费用、增值税费</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%税率）</w:t>
            </w:r>
            <w:r>
              <w:rPr>
                <w:rFonts w:hint="eastAsia" w:ascii="宋体" w:hAnsi="宋体" w:eastAsia="宋体" w:cs="宋体"/>
                <w:kern w:val="0"/>
                <w:sz w:val="21"/>
                <w:szCs w:val="21"/>
              </w:rPr>
              <w:t>、运输费、保险费、装卸费等其他一切费用。除上述合计金额外，甲方无须支付乙方任何款项。</w:t>
            </w:r>
          </w:p>
        </w:tc>
      </w:tr>
    </w:tbl>
    <w:p>
      <w:pPr>
        <w:spacing w:line="240" w:lineRule="exact"/>
        <w:ind w:firstLine="285" w:firstLineChars="135"/>
        <w:contextualSpacing/>
        <w:rPr>
          <w:rFonts w:hint="eastAsia" w:ascii="宋体" w:hAnsi="宋体" w:eastAsia="宋体" w:cs="宋体"/>
          <w:b/>
          <w:sz w:val="21"/>
          <w:szCs w:val="21"/>
        </w:rPr>
      </w:pPr>
    </w:p>
    <w:p>
      <w:pPr>
        <w:pStyle w:val="31"/>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二、货物/产品的质量和技术要求</w:t>
      </w:r>
    </w:p>
    <w:p>
      <w:pPr>
        <w:pStyle w:val="31"/>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2.1乙方应以本合同的约定及有关产品质量和产品技术的国家标准和行业标准为标准提供产品。</w:t>
      </w:r>
    </w:p>
    <w:p>
      <w:pPr>
        <w:pStyle w:val="31"/>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2.2乙方保证提供的产品符合中华人民共和国国家及行业的安全质量标准，上述标准为已发布的且在产品交付时有效的最新版本的标准。</w:t>
      </w:r>
    </w:p>
    <w:p>
      <w:pPr>
        <w:pStyle w:val="31"/>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2.3乙方保证提供给甲方的产品完全符合甲方的各项使用目的或在采购时提出的各项要求。</w:t>
      </w:r>
    </w:p>
    <w:p>
      <w:pPr>
        <w:spacing w:line="240" w:lineRule="exact"/>
        <w:ind w:firstLine="283" w:firstLineChars="135"/>
        <w:contextualSpacing/>
        <w:rPr>
          <w:rFonts w:hint="eastAsia" w:ascii="宋体" w:hAnsi="宋体" w:eastAsia="宋体" w:cs="宋体"/>
          <w:sz w:val="21"/>
          <w:szCs w:val="21"/>
        </w:rPr>
      </w:pPr>
    </w:p>
    <w:p>
      <w:pPr>
        <w:pStyle w:val="31"/>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三、运输包装要求</w:t>
      </w:r>
    </w:p>
    <w:p>
      <w:pPr>
        <w:pStyle w:val="31"/>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乙方在本合同规定时间内将上述货物送到甲方指定的地点。包装要保证运输安全及转运过程中不损坏、不破损，如运输中产品损坏由乙方承担。</w:t>
      </w:r>
    </w:p>
    <w:p>
      <w:pPr>
        <w:spacing w:line="240" w:lineRule="exact"/>
        <w:ind w:firstLine="283" w:firstLineChars="135"/>
        <w:contextualSpacing/>
        <w:rPr>
          <w:rFonts w:hint="eastAsia" w:ascii="宋体" w:hAnsi="宋体" w:eastAsia="宋体" w:cs="宋体"/>
          <w:sz w:val="21"/>
          <w:szCs w:val="21"/>
        </w:rPr>
      </w:pPr>
    </w:p>
    <w:p>
      <w:pPr>
        <w:pStyle w:val="31"/>
        <w:tabs>
          <w:tab w:val="left" w:pos="0"/>
        </w:tabs>
        <w:ind w:firstLine="0" w:firstLineChars="0"/>
        <w:rPr>
          <w:rFonts w:hint="eastAsia" w:ascii="宋体" w:hAnsi="宋体" w:eastAsia="宋体" w:cs="宋体"/>
          <w:sz w:val="21"/>
          <w:szCs w:val="21"/>
        </w:rPr>
      </w:pPr>
      <w:r>
        <w:rPr>
          <w:rFonts w:hint="eastAsia" w:ascii="宋体" w:hAnsi="宋体" w:eastAsia="宋体" w:cs="宋体"/>
          <w:b/>
          <w:sz w:val="21"/>
          <w:szCs w:val="21"/>
        </w:rPr>
        <w:t>四、交货期限及地点</w:t>
      </w:r>
    </w:p>
    <w:p>
      <w:pPr>
        <w:pStyle w:val="31"/>
        <w:tabs>
          <w:tab w:val="left" w:pos="0"/>
        </w:tabs>
        <w:ind w:firstLine="0" w:firstLineChars="0"/>
        <w:rPr>
          <w:rFonts w:hint="eastAsia" w:ascii="宋体" w:hAnsi="宋体" w:eastAsia="宋体" w:cs="宋体"/>
          <w:sz w:val="21"/>
          <w:szCs w:val="21"/>
        </w:rPr>
      </w:pPr>
      <w:r>
        <w:rPr>
          <w:rFonts w:hint="eastAsia" w:ascii="宋体" w:hAnsi="宋体" w:eastAsia="宋体" w:cs="宋体"/>
          <w:sz w:val="21"/>
          <w:szCs w:val="21"/>
        </w:rPr>
        <w:t xml:space="preserve">乙方应在本合同规定的交货时间内向甲方交货，将本合同项下的货物送达到甲方指定地点。 </w:t>
      </w:r>
    </w:p>
    <w:p>
      <w:pPr>
        <w:jc w:val="left"/>
        <w:rPr>
          <w:rFonts w:hint="eastAsia" w:ascii="宋体" w:hAnsi="宋体" w:eastAsia="宋体" w:cs="宋体"/>
          <w:b/>
          <w:sz w:val="21"/>
          <w:szCs w:val="21"/>
        </w:rPr>
      </w:pPr>
      <w:r>
        <w:rPr>
          <w:rFonts w:hint="eastAsia" w:ascii="宋体" w:hAnsi="宋体" w:eastAsia="宋体" w:cs="宋体"/>
          <w:b/>
          <w:sz w:val="21"/>
          <w:szCs w:val="21"/>
        </w:rPr>
        <w:t>五、付款方式</w:t>
      </w:r>
    </w:p>
    <w:p>
      <w:pPr>
        <w:pStyle w:val="31"/>
        <w:spacing w:line="300" w:lineRule="exact"/>
        <w:ind w:firstLine="0" w:firstLineChars="0"/>
        <w:contextualSpacing/>
        <w:rPr>
          <w:rFonts w:hint="eastAsia" w:ascii="宋体" w:hAnsi="宋体" w:eastAsia="宋体" w:cs="宋体"/>
          <w:b/>
          <w:bCs/>
          <w:sz w:val="21"/>
          <w:szCs w:val="21"/>
          <w:u w:val="single"/>
        </w:rPr>
      </w:pPr>
      <w:r>
        <w:rPr>
          <w:rFonts w:hint="eastAsia" w:ascii="宋体" w:hAnsi="宋体" w:eastAsia="宋体" w:cs="宋体"/>
          <w:b/>
          <w:bCs/>
          <w:sz w:val="21"/>
          <w:szCs w:val="21"/>
        </w:rPr>
        <w:t>5.1</w:t>
      </w:r>
      <w:r>
        <w:rPr>
          <w:rFonts w:hint="eastAsia" w:ascii="宋体" w:hAnsi="宋体" w:eastAsia="宋体" w:cs="宋体"/>
          <w:b/>
          <w:bCs/>
          <w:sz w:val="21"/>
          <w:szCs w:val="21"/>
          <w:u w:val="single"/>
        </w:rPr>
        <w:t>签订合同且甲方收到发票后3日内支付合同总价30%的预付款，工程竣工验收合格且甲方收到发票后7个工作日内支付至合同总价的97%。</w:t>
      </w:r>
    </w:p>
    <w:p>
      <w:pPr>
        <w:pStyle w:val="31"/>
        <w:spacing w:line="300" w:lineRule="exact"/>
        <w:ind w:firstLine="0" w:firstLineChars="0"/>
        <w:contextualSpacing/>
        <w:rPr>
          <w:rFonts w:hint="eastAsia" w:ascii="宋体" w:hAnsi="宋体" w:eastAsia="宋体" w:cs="宋体"/>
          <w:b/>
          <w:bCs/>
          <w:color w:val="0000FF"/>
          <w:sz w:val="21"/>
          <w:szCs w:val="21"/>
          <w:highlight w:val="yellow"/>
          <w:u w:val="single"/>
        </w:rPr>
      </w:pPr>
      <w:r>
        <w:rPr>
          <w:rFonts w:hint="eastAsia" w:ascii="宋体" w:hAnsi="宋体" w:eastAsia="宋体" w:cs="宋体"/>
          <w:b/>
          <w:bCs/>
          <w:sz w:val="21"/>
          <w:szCs w:val="21"/>
          <w:u w:val="single"/>
        </w:rPr>
        <w:t>2、剩余工程款3%作为质保金，质保期为1年以竣工验收合格日期开始计算质保期。质保期届满且乙方无合同约定扣除保证金情况下，甲方应7个工作日内将无息支付给乙方。</w:t>
      </w:r>
    </w:p>
    <w:p>
      <w:pPr>
        <w:pStyle w:val="31"/>
        <w:spacing w:line="300" w:lineRule="exact"/>
        <w:ind w:firstLine="0" w:firstLineChars="0"/>
        <w:contextualSpacing/>
        <w:rPr>
          <w:rFonts w:hint="eastAsia" w:ascii="宋体" w:hAnsi="宋体" w:eastAsia="宋体" w:cs="宋体"/>
          <w:b/>
          <w:bCs/>
          <w:color w:val="0000FF"/>
          <w:sz w:val="21"/>
          <w:szCs w:val="21"/>
          <w:highlight w:val="yellow"/>
        </w:rPr>
      </w:pPr>
    </w:p>
    <w:p>
      <w:pPr>
        <w:pStyle w:val="31"/>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5.2乙方应当向甲方提交如下交付文件：</w:t>
      </w:r>
    </w:p>
    <w:p>
      <w:pPr>
        <w:rPr>
          <w:rFonts w:hint="eastAsia" w:ascii="宋体" w:hAnsi="宋体" w:eastAsia="宋体" w:cs="宋体"/>
          <w:b/>
          <w:sz w:val="21"/>
          <w:szCs w:val="21"/>
        </w:rPr>
      </w:pPr>
      <w:r>
        <w:rPr>
          <w:rFonts w:hint="eastAsia" w:ascii="宋体" w:hAnsi="宋体" w:eastAsia="宋体" w:cs="宋体"/>
          <w:sz w:val="21"/>
          <w:szCs w:val="21"/>
        </w:rPr>
        <w:t>1) 注明产品名称、数量、单价、正式的增值税专用发票； 2)   质量合格证书、保修证书；3)  详细的装箱单；4)  原产地证明。（如有）；以及5)  合同规定或双方另行约定的乙方应当提交的其他文件。</w:t>
      </w:r>
    </w:p>
    <w:p>
      <w:pPr>
        <w:rPr>
          <w:rFonts w:hint="eastAsia" w:ascii="宋体" w:hAnsi="宋体" w:eastAsia="宋体" w:cs="宋体"/>
          <w:b/>
          <w:sz w:val="21"/>
          <w:szCs w:val="21"/>
        </w:rPr>
      </w:pPr>
      <w:r>
        <w:rPr>
          <w:rFonts w:hint="eastAsia" w:ascii="宋体" w:hAnsi="宋体" w:eastAsia="宋体" w:cs="宋体"/>
          <w:b/>
          <w:sz w:val="21"/>
          <w:szCs w:val="21"/>
        </w:rPr>
        <w:t>六、质保期</w:t>
      </w:r>
    </w:p>
    <w:p>
      <w:pPr>
        <w:pStyle w:val="31"/>
        <w:spacing w:line="300" w:lineRule="exact"/>
        <w:ind w:firstLine="0" w:firstLineChars="0"/>
        <w:contextualSpacing/>
        <w:rPr>
          <w:rFonts w:hint="eastAsia" w:ascii="宋体" w:hAnsi="宋体" w:eastAsia="宋体" w:cs="宋体"/>
          <w:sz w:val="21"/>
          <w:szCs w:val="21"/>
        </w:rPr>
      </w:pPr>
      <w:r>
        <w:rPr>
          <w:rFonts w:hint="eastAsia" w:ascii="宋体" w:hAnsi="宋体" w:eastAsia="宋体" w:cs="宋体"/>
          <w:sz w:val="21"/>
          <w:szCs w:val="21"/>
        </w:rPr>
        <w:t>甲方完全享受乙方对合同产品在中国地区所承诺的一切质量保证、维护及其它服务。产品质保期为甲方验收合格之日起【 1】年或产品原厂家质保期（以较长者为准）；但维修或更换（如有）后的产品的质保期应当自维修或更换完成且甲方书面确认接受起重新计算，质保服务按产品保修证书和该产品生产厂家的标准执行（但质保服务不应低于国家和行业相关规定、规范及标准）。</w:t>
      </w:r>
    </w:p>
    <w:p>
      <w:pPr>
        <w:spacing w:line="240" w:lineRule="exact"/>
        <w:ind w:firstLine="283" w:firstLineChars="135"/>
        <w:contextualSpacing/>
        <w:rPr>
          <w:rFonts w:hint="eastAsia" w:ascii="宋体" w:hAnsi="宋体" w:eastAsia="宋体" w:cs="宋体"/>
          <w:bCs/>
          <w:sz w:val="21"/>
          <w:szCs w:val="21"/>
        </w:rPr>
      </w:pPr>
    </w:p>
    <w:p>
      <w:pPr>
        <w:jc w:val="left"/>
        <w:rPr>
          <w:rFonts w:hint="eastAsia" w:ascii="宋体" w:hAnsi="宋体" w:eastAsia="宋体" w:cs="宋体"/>
          <w:b/>
          <w:sz w:val="21"/>
          <w:szCs w:val="21"/>
        </w:rPr>
      </w:pPr>
      <w:r>
        <w:rPr>
          <w:rFonts w:hint="eastAsia" w:ascii="宋体" w:hAnsi="宋体" w:eastAsia="宋体" w:cs="宋体"/>
          <w:b/>
          <w:sz w:val="21"/>
          <w:szCs w:val="21"/>
        </w:rPr>
        <w:t>七、违约责任</w:t>
      </w:r>
    </w:p>
    <w:p>
      <w:pPr>
        <w:jc w:val="left"/>
        <w:rPr>
          <w:rFonts w:hint="eastAsia" w:ascii="宋体" w:hAnsi="宋体" w:eastAsia="宋体" w:cs="宋体"/>
          <w:sz w:val="21"/>
          <w:szCs w:val="21"/>
        </w:rPr>
      </w:pPr>
      <w:r>
        <w:rPr>
          <w:rFonts w:hint="eastAsia" w:ascii="宋体" w:hAnsi="宋体" w:eastAsia="宋体" w:cs="宋体"/>
          <w:sz w:val="21"/>
          <w:szCs w:val="21"/>
        </w:rPr>
        <w:t>如乙方迟延交货或迟延履行其他义务，每延迟1日，乙方应当按合同总价的0.5%/日向甲方支付迟延履行违约金；当迟延行为超过约定的期限5日或虽未满5日但乙方明确表示届时不能按照合同约定交付产品和/或履行其他义务时，甲方有权终止整个合同或合同的任何一部分并且要求乙方支付相当于合同总价30%的违约金；若乙方违约导致甲方损失，但前述各项违约金不足以弥补甲方损失的，乙方应当就甲方的损失承担赔偿责任。</w:t>
      </w:r>
    </w:p>
    <w:p>
      <w:pPr>
        <w:jc w:val="left"/>
        <w:rPr>
          <w:rFonts w:hint="eastAsia" w:ascii="宋体" w:hAnsi="宋体" w:eastAsia="宋体" w:cs="宋体"/>
          <w:b/>
          <w:sz w:val="21"/>
          <w:szCs w:val="21"/>
        </w:rPr>
      </w:pPr>
    </w:p>
    <w:p>
      <w:pPr>
        <w:jc w:val="left"/>
        <w:rPr>
          <w:rFonts w:hint="eastAsia" w:ascii="宋体" w:hAnsi="宋体" w:eastAsia="宋体" w:cs="宋体"/>
          <w:sz w:val="21"/>
          <w:szCs w:val="21"/>
        </w:rPr>
      </w:pPr>
      <w:r>
        <w:rPr>
          <w:rFonts w:hint="eastAsia" w:ascii="宋体" w:hAnsi="宋体" w:eastAsia="宋体" w:cs="宋体"/>
          <w:b/>
          <w:sz w:val="21"/>
          <w:szCs w:val="21"/>
        </w:rPr>
        <w:t>八、争议解决</w:t>
      </w:r>
    </w:p>
    <w:p>
      <w:pPr>
        <w:rPr>
          <w:rFonts w:hint="eastAsia" w:ascii="宋体" w:hAnsi="宋体" w:eastAsia="宋体" w:cs="宋体"/>
          <w:sz w:val="21"/>
          <w:szCs w:val="21"/>
        </w:rPr>
      </w:pPr>
      <w:r>
        <w:rPr>
          <w:rFonts w:hint="eastAsia" w:ascii="宋体" w:hAnsi="宋体" w:eastAsia="宋体" w:cs="宋体"/>
          <w:sz w:val="21"/>
          <w:szCs w:val="21"/>
        </w:rPr>
        <w:t>双方如发生争议，由双方友好协商解决，若协商调解不成的，可依法向甲方所在地人民法院起诉。</w:t>
      </w:r>
    </w:p>
    <w:p>
      <w:pPr>
        <w:pStyle w:val="31"/>
        <w:ind w:firstLine="0" w:firstLineChars="0"/>
        <w:jc w:val="left"/>
        <w:rPr>
          <w:rFonts w:hint="eastAsia" w:ascii="宋体" w:hAnsi="宋体" w:eastAsia="宋体" w:cs="宋体"/>
          <w:b/>
          <w:sz w:val="21"/>
          <w:szCs w:val="21"/>
        </w:rPr>
      </w:pPr>
    </w:p>
    <w:p>
      <w:pPr>
        <w:pStyle w:val="31"/>
        <w:ind w:firstLine="0" w:firstLineChars="0"/>
        <w:jc w:val="left"/>
        <w:rPr>
          <w:rFonts w:hint="eastAsia" w:ascii="宋体" w:hAnsi="宋体" w:eastAsia="宋体" w:cs="宋体"/>
          <w:sz w:val="21"/>
          <w:szCs w:val="21"/>
        </w:rPr>
      </w:pPr>
      <w:r>
        <w:rPr>
          <w:rFonts w:hint="eastAsia" w:ascii="宋体" w:hAnsi="宋体" w:eastAsia="宋体" w:cs="宋体"/>
          <w:b/>
          <w:sz w:val="21"/>
          <w:szCs w:val="21"/>
        </w:rPr>
        <w:t>九、</w:t>
      </w:r>
      <w:r>
        <w:rPr>
          <w:rFonts w:hint="eastAsia" w:ascii="宋体" w:hAnsi="宋体" w:eastAsia="宋体" w:cs="宋体"/>
          <w:sz w:val="21"/>
          <w:szCs w:val="21"/>
        </w:rPr>
        <w:t>本合同壹式叁份，甲方贰份，乙方一份，自双方签署盖章之日生效。</w:t>
      </w:r>
    </w:p>
    <w:p>
      <w:pPr>
        <w:pStyle w:val="31"/>
        <w:ind w:firstLine="0" w:firstLineChars="0"/>
        <w:jc w:val="left"/>
        <w:rPr>
          <w:rFonts w:hint="eastAsia" w:ascii="宋体" w:hAnsi="宋体" w:eastAsia="宋体" w:cs="宋体"/>
          <w:sz w:val="21"/>
          <w:szCs w:val="21"/>
        </w:rPr>
      </w:pPr>
    </w:p>
    <w:p>
      <w:pPr>
        <w:widowControl/>
        <w:ind w:firstLine="630" w:firstLineChars="300"/>
        <w:rPr>
          <w:rFonts w:ascii="楷体" w:hAnsi="楷体" w:eastAsia="楷体"/>
          <w:szCs w:val="21"/>
        </w:rPr>
      </w:pPr>
    </w:p>
    <w:p>
      <w:pPr>
        <w:widowControl/>
        <w:ind w:firstLine="630" w:firstLineChars="300"/>
        <w:rPr>
          <w:rFonts w:ascii="楷体" w:hAnsi="楷体" w:eastAsia="楷体"/>
          <w:szCs w:val="21"/>
        </w:rPr>
      </w:pPr>
    </w:p>
    <w:tbl>
      <w:tblPr>
        <w:tblStyle w:val="23"/>
        <w:tblW w:w="8647" w:type="dxa"/>
        <w:tblInd w:w="-106" w:type="dxa"/>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Layout w:type="autofit"/>
        <w:tblCellMar>
          <w:top w:w="0" w:type="dxa"/>
          <w:left w:w="108" w:type="dxa"/>
          <w:bottom w:w="0" w:type="dxa"/>
          <w:right w:w="108" w:type="dxa"/>
        </w:tblCellMar>
      </w:tblPr>
      <w:tblGrid>
        <w:gridCol w:w="4111"/>
        <w:gridCol w:w="4536"/>
      </w:tblGrid>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top w:val="single" w:color="000000" w:sz="4" w:space="0"/>
            </w:tcBorders>
            <w:vAlign w:val="center"/>
          </w:tcPr>
          <w:p>
            <w:pPr>
              <w:spacing w:line="360" w:lineRule="auto"/>
              <w:jc w:val="center"/>
              <w:rPr>
                <w:rFonts w:ascii="楷体" w:hAnsi="楷体" w:eastAsia="楷体"/>
                <w:b/>
                <w:sz w:val="24"/>
                <w:szCs w:val="24"/>
              </w:rPr>
            </w:pPr>
            <w:r>
              <w:rPr>
                <w:rFonts w:hint="eastAsia" w:ascii="楷体" w:hAnsi="楷体" w:eastAsia="楷体"/>
                <w:b/>
                <w:sz w:val="24"/>
                <w:szCs w:val="24"/>
              </w:rPr>
              <w:t>购货方/甲方</w:t>
            </w:r>
          </w:p>
        </w:tc>
        <w:tc>
          <w:tcPr>
            <w:tcW w:w="4536" w:type="dxa"/>
            <w:vMerge w:val="restart"/>
            <w:tcBorders>
              <w:top w:val="single" w:color="000000" w:sz="4" w:space="0"/>
            </w:tcBorders>
            <w:vAlign w:val="center"/>
          </w:tcPr>
          <w:tbl>
            <w:tblPr>
              <w:tblStyle w:val="23"/>
              <w:tblW w:w="0" w:type="auto"/>
              <w:tblInd w:w="0" w:type="dxa"/>
              <w:tblLayout w:type="autofit"/>
              <w:tblCellMar>
                <w:top w:w="0" w:type="dxa"/>
                <w:left w:w="108" w:type="dxa"/>
                <w:bottom w:w="0" w:type="dxa"/>
                <w:right w:w="108" w:type="dxa"/>
              </w:tblCellMar>
            </w:tblPr>
            <w:tblGrid>
              <w:gridCol w:w="3960"/>
            </w:tblGrid>
            <w:tr>
              <w:tblPrEx>
                <w:tblCellMar>
                  <w:top w:w="0" w:type="dxa"/>
                  <w:left w:w="108" w:type="dxa"/>
                  <w:bottom w:w="0" w:type="dxa"/>
                  <w:right w:w="108" w:type="dxa"/>
                </w:tblCellMar>
              </w:tblPrEx>
              <w:tc>
                <w:tcPr>
                  <w:tcW w:w="3960" w:type="dxa"/>
                </w:tcPr>
                <w:p>
                  <w:pPr>
                    <w:spacing w:line="360" w:lineRule="auto"/>
                    <w:jc w:val="center"/>
                    <w:rPr>
                      <w:rFonts w:ascii="楷体" w:hAnsi="楷体" w:eastAsia="楷体"/>
                      <w:b/>
                      <w:sz w:val="24"/>
                      <w:szCs w:val="24"/>
                    </w:rPr>
                  </w:pPr>
                  <w:r>
                    <w:rPr>
                      <w:rFonts w:hint="eastAsia" w:ascii="楷体" w:hAnsi="楷体" w:eastAsia="楷体"/>
                      <w:b/>
                      <w:sz w:val="24"/>
                      <w:szCs w:val="24"/>
                    </w:rPr>
                    <w:t xml:space="preserve">供货方/乙方  </w:t>
                  </w:r>
                </w:p>
                <w:p>
                  <w:pPr>
                    <w:rPr>
                      <w:rFonts w:ascii="楷体" w:hAnsi="楷体" w:eastAsia="楷体"/>
                      <w:sz w:val="24"/>
                      <w:szCs w:val="24"/>
                    </w:rPr>
                  </w:pPr>
                  <w:r>
                    <w:rPr>
                      <w:rFonts w:hint="eastAsia" w:ascii="楷体" w:hAnsi="楷体" w:eastAsia="楷体"/>
                      <w:sz w:val="24"/>
                      <w:szCs w:val="24"/>
                    </w:rPr>
                    <w:t xml:space="preserve">单位名称(章)：  </w:t>
                  </w:r>
                </w:p>
                <w:p>
                  <w:pPr>
                    <w:rPr>
                      <w:rFonts w:ascii="楷体" w:hAnsi="楷体" w:eastAsia="楷体"/>
                      <w:sz w:val="24"/>
                      <w:szCs w:val="24"/>
                    </w:rPr>
                  </w:pPr>
                  <w:r>
                    <w:rPr>
                      <w:rFonts w:hint="eastAsia" w:ascii="楷体" w:hAnsi="楷体" w:eastAsia="楷体"/>
                      <w:sz w:val="24"/>
                      <w:szCs w:val="24"/>
                    </w:rPr>
                    <w:t>单位地址：</w:t>
                  </w:r>
                </w:p>
                <w:p>
                  <w:pPr>
                    <w:rPr>
                      <w:rFonts w:ascii="楷体" w:hAnsi="楷体" w:eastAsia="楷体"/>
                      <w:sz w:val="24"/>
                      <w:szCs w:val="24"/>
                    </w:rPr>
                  </w:pPr>
                  <w:r>
                    <w:rPr>
                      <w:rFonts w:hint="eastAsia" w:ascii="楷体" w:hAnsi="楷体" w:eastAsia="楷体"/>
                      <w:sz w:val="24"/>
                      <w:szCs w:val="24"/>
                    </w:rPr>
                    <w:t>纳税人识别号：</w:t>
                  </w:r>
                </w:p>
                <w:p>
                  <w:pPr>
                    <w:rPr>
                      <w:rFonts w:ascii="楷体" w:hAnsi="楷体" w:eastAsia="楷体"/>
                      <w:sz w:val="24"/>
                      <w:szCs w:val="24"/>
                    </w:rPr>
                  </w:pPr>
                  <w:r>
                    <w:rPr>
                      <w:rFonts w:hint="eastAsia" w:ascii="楷体" w:hAnsi="楷体" w:eastAsia="楷体"/>
                      <w:sz w:val="24"/>
                      <w:szCs w:val="24"/>
                    </w:rPr>
                    <w:t>授权签字人：</w:t>
                  </w:r>
                </w:p>
              </w:tc>
            </w:tr>
          </w:tbl>
          <w:p>
            <w:pPr>
              <w:ind w:firstLine="120" w:firstLineChars="50"/>
              <w:rPr>
                <w:rFonts w:ascii="楷体" w:hAnsi="楷体" w:eastAsia="楷体"/>
                <w:sz w:val="24"/>
                <w:szCs w:val="24"/>
              </w:rPr>
            </w:pPr>
            <w:r>
              <w:rPr>
                <w:rFonts w:hint="eastAsia" w:ascii="楷体" w:hAnsi="楷体" w:eastAsia="楷体"/>
                <w:sz w:val="24"/>
                <w:szCs w:val="24"/>
              </w:rPr>
              <w:t>职务</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电话</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传真</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开户银行</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账号</w:t>
            </w:r>
            <w:r>
              <w:rPr>
                <w:rFonts w:ascii="楷体" w:hAnsi="楷体" w:eastAsia="楷体"/>
                <w:sz w:val="24"/>
                <w:szCs w:val="24"/>
              </w:rPr>
              <w:t>：</w:t>
            </w:r>
          </w:p>
          <w:p>
            <w:pPr>
              <w:ind w:firstLine="120" w:firstLineChars="50"/>
              <w:rPr>
                <w:rFonts w:ascii="楷体" w:hAnsi="楷体" w:eastAsia="楷体"/>
                <w:sz w:val="24"/>
                <w:szCs w:val="24"/>
              </w:rPr>
            </w:pPr>
            <w:r>
              <w:rPr>
                <w:rFonts w:hint="eastAsia" w:ascii="楷体" w:hAnsi="楷体" w:eastAsia="楷体"/>
                <w:sz w:val="24"/>
                <w:szCs w:val="24"/>
              </w:rPr>
              <w:t>签署</w:t>
            </w:r>
            <w:r>
              <w:rPr>
                <w:rFonts w:ascii="楷体" w:hAnsi="楷体" w:eastAsia="楷体"/>
                <w:sz w:val="24"/>
                <w:szCs w:val="24"/>
              </w:rPr>
              <w:t>日期：</w:t>
            </w:r>
            <w:r>
              <w:rPr>
                <w:rFonts w:hint="eastAsia" w:ascii="楷体" w:hAnsi="楷体" w:eastAsia="楷体"/>
                <w:sz w:val="24"/>
                <w:szCs w:val="24"/>
              </w:rPr>
              <w:t xml:space="preserve">   年   月 </w:t>
            </w:r>
            <w:r>
              <w:rPr>
                <w:rFonts w:ascii="楷体" w:hAnsi="楷体" w:eastAsia="楷体"/>
                <w:sz w:val="24"/>
                <w:szCs w:val="24"/>
              </w:rPr>
              <w:t xml:space="preserve"> </w:t>
            </w:r>
            <w:r>
              <w:rPr>
                <w:rFonts w:hint="eastAsia" w:ascii="楷体" w:hAnsi="楷体" w:eastAsia="楷体"/>
                <w:sz w:val="24"/>
                <w:szCs w:val="24"/>
              </w:rPr>
              <w:t xml:space="preserve"> 日</w:t>
            </w: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单位名称</w:t>
            </w:r>
            <w:r>
              <w:rPr>
                <w:rFonts w:ascii="楷体" w:hAnsi="楷体" w:eastAsia="楷体"/>
                <w:sz w:val="24"/>
                <w:szCs w:val="24"/>
              </w:rPr>
              <w:t>(</w:t>
            </w:r>
            <w:r>
              <w:rPr>
                <w:rFonts w:hint="eastAsia" w:ascii="楷体" w:hAnsi="楷体" w:eastAsia="楷体"/>
                <w:sz w:val="24"/>
                <w:szCs w:val="24"/>
              </w:rPr>
              <w:t>章</w:t>
            </w:r>
            <w:r>
              <w:rPr>
                <w:rFonts w:ascii="楷体" w:hAnsi="楷体" w:eastAsia="楷体"/>
                <w:sz w:val="24"/>
                <w:szCs w:val="24"/>
              </w:rPr>
              <w:t>)</w:t>
            </w:r>
            <w:r>
              <w:rPr>
                <w:rFonts w:hint="eastAsia" w:ascii="楷体" w:hAnsi="楷体" w:eastAsia="楷体"/>
                <w:sz w:val="24"/>
                <w:szCs w:val="24"/>
              </w:rPr>
              <w:t xml:space="preserve">：     </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单位地址：</w:t>
            </w:r>
            <w:r>
              <w:rPr>
                <w:rFonts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纳税人识别号：</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授权签字人：</w:t>
            </w:r>
            <w:r>
              <w:rPr>
                <w:rFonts w:ascii="楷体" w:hAnsi="楷体" w:eastAsia="楷体"/>
                <w:sz w:val="24"/>
                <w:szCs w:val="24"/>
              </w:rPr>
              <w:t xml:space="preserve"> </w:t>
            </w:r>
          </w:p>
          <w:p>
            <w:pPr>
              <w:rPr>
                <w:rFonts w:ascii="楷体" w:hAnsi="楷体" w:eastAsia="楷体"/>
                <w:sz w:val="24"/>
                <w:szCs w:val="24"/>
              </w:rPr>
            </w:pPr>
            <w:r>
              <w:rPr>
                <w:rFonts w:hint="eastAsia" w:ascii="楷体" w:hAnsi="楷体" w:eastAsia="楷体"/>
                <w:sz w:val="24"/>
                <w:szCs w:val="24"/>
              </w:rPr>
              <w:t>电</w:t>
            </w:r>
            <w:r>
              <w:rPr>
                <w:rFonts w:ascii="楷体" w:hAnsi="楷体" w:eastAsia="楷体"/>
                <w:sz w:val="24"/>
                <w:szCs w:val="24"/>
              </w:rPr>
              <w:t xml:space="preserve">  </w:t>
            </w:r>
            <w:r>
              <w:rPr>
                <w:rFonts w:hint="eastAsia" w:ascii="楷体" w:hAnsi="楷体" w:eastAsia="楷体"/>
                <w:sz w:val="24"/>
                <w:szCs w:val="24"/>
              </w:rPr>
              <w:t>话：</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Pr>
          <w:p>
            <w:pPr>
              <w:rPr>
                <w:rFonts w:ascii="楷体" w:hAnsi="楷体" w:eastAsia="楷体"/>
                <w:sz w:val="24"/>
                <w:szCs w:val="24"/>
              </w:rPr>
            </w:pPr>
            <w:r>
              <w:rPr>
                <w:rFonts w:hint="eastAsia" w:ascii="楷体" w:hAnsi="楷体" w:eastAsia="楷体"/>
                <w:sz w:val="24"/>
                <w:szCs w:val="24"/>
              </w:rPr>
              <w:t>传</w:t>
            </w:r>
            <w:r>
              <w:rPr>
                <w:rFonts w:ascii="楷体" w:hAnsi="楷体" w:eastAsia="楷体"/>
                <w:sz w:val="24"/>
                <w:szCs w:val="24"/>
              </w:rPr>
              <w:t xml:space="preserve">  </w:t>
            </w:r>
            <w:r>
              <w:rPr>
                <w:rFonts w:hint="eastAsia" w:ascii="楷体" w:hAnsi="楷体" w:eastAsia="楷体"/>
                <w:sz w:val="24"/>
                <w:szCs w:val="24"/>
              </w:rPr>
              <w:t>真：</w:t>
            </w:r>
          </w:p>
        </w:tc>
        <w:tc>
          <w:tcPr>
            <w:tcW w:w="4536" w:type="dxa"/>
            <w:vMerge w:val="continue"/>
          </w:tcPr>
          <w:p>
            <w:pPr>
              <w:spacing w:line="360" w:lineRule="auto"/>
              <w:rPr>
                <w:rFonts w:ascii="楷体" w:hAnsi="楷体" w:eastAsia="楷体"/>
                <w:sz w:val="24"/>
                <w:szCs w:val="24"/>
              </w:rPr>
            </w:pPr>
          </w:p>
        </w:tc>
      </w:tr>
      <w:tr>
        <w:tblPrEx>
          <w:tblBorders>
            <w:top w:val="single" w:color="000000" w:sz="4" w:space="0"/>
            <w:left w:val="single" w:color="000000" w:sz="4" w:space="0"/>
            <w:bottom w:val="single" w:color="000000" w:sz="4" w:space="0"/>
            <w:right w:val="single" w:color="000000" w:sz="4" w:space="0"/>
            <w:insideH w:val="none" w:color="auto" w:sz="0" w:space="0"/>
            <w:insideV w:val="single" w:color="000000" w:sz="4" w:space="0"/>
          </w:tblBorders>
          <w:tblCellMar>
            <w:top w:w="0" w:type="dxa"/>
            <w:left w:w="108" w:type="dxa"/>
            <w:bottom w:w="0" w:type="dxa"/>
            <w:right w:w="108" w:type="dxa"/>
          </w:tblCellMar>
        </w:tblPrEx>
        <w:tc>
          <w:tcPr>
            <w:tcW w:w="4111" w:type="dxa"/>
            <w:tcBorders>
              <w:bottom w:val="single" w:color="000000" w:sz="4" w:space="0"/>
            </w:tcBorders>
          </w:tcPr>
          <w:p>
            <w:pPr>
              <w:rPr>
                <w:rFonts w:ascii="楷体" w:hAnsi="楷体" w:eastAsia="楷体"/>
                <w:sz w:val="24"/>
                <w:szCs w:val="24"/>
              </w:rPr>
            </w:pPr>
            <w:r>
              <w:rPr>
                <w:rFonts w:hint="eastAsia" w:ascii="楷体" w:hAnsi="楷体" w:eastAsia="楷体"/>
                <w:sz w:val="24"/>
                <w:szCs w:val="24"/>
              </w:rPr>
              <w:t>邮</w:t>
            </w:r>
            <w:r>
              <w:rPr>
                <w:rFonts w:ascii="楷体" w:hAnsi="楷体" w:eastAsia="楷体"/>
                <w:sz w:val="24"/>
                <w:szCs w:val="24"/>
              </w:rPr>
              <w:t xml:space="preserve">  </w:t>
            </w:r>
            <w:r>
              <w:rPr>
                <w:rFonts w:hint="eastAsia" w:ascii="楷体" w:hAnsi="楷体" w:eastAsia="楷体"/>
                <w:sz w:val="24"/>
                <w:szCs w:val="24"/>
              </w:rPr>
              <w:t>编：</w:t>
            </w:r>
          </w:p>
          <w:tbl>
            <w:tblPr>
              <w:tblStyle w:val="23"/>
              <w:tblW w:w="0" w:type="auto"/>
              <w:tblInd w:w="0" w:type="dxa"/>
              <w:tblLayout w:type="autofit"/>
              <w:tblCellMar>
                <w:top w:w="0" w:type="dxa"/>
                <w:left w:w="108" w:type="dxa"/>
                <w:bottom w:w="0" w:type="dxa"/>
                <w:right w:w="108" w:type="dxa"/>
              </w:tblCellMar>
            </w:tblPr>
            <w:tblGrid>
              <w:gridCol w:w="3895"/>
            </w:tblGrid>
            <w:tr>
              <w:tblPrEx>
                <w:tblCellMar>
                  <w:top w:w="0" w:type="dxa"/>
                  <w:left w:w="108" w:type="dxa"/>
                  <w:bottom w:w="0" w:type="dxa"/>
                  <w:right w:w="108" w:type="dxa"/>
                </w:tblCellMar>
              </w:tblPrEx>
              <w:tc>
                <w:tcPr>
                  <w:tcW w:w="3895" w:type="dxa"/>
                </w:tcPr>
                <w:p>
                  <w:pPr>
                    <w:rPr>
                      <w:rFonts w:ascii="楷体" w:hAnsi="楷体" w:eastAsia="楷体"/>
                      <w:sz w:val="24"/>
                      <w:szCs w:val="24"/>
                    </w:rPr>
                  </w:pPr>
                  <w:r>
                    <w:rPr>
                      <w:rFonts w:hint="eastAsia" w:ascii="楷体" w:hAnsi="楷体" w:eastAsia="楷体"/>
                      <w:sz w:val="24"/>
                      <w:szCs w:val="24"/>
                    </w:rPr>
                    <w:t>签署日期：  年  月    日</w:t>
                  </w:r>
                </w:p>
              </w:tc>
            </w:tr>
          </w:tbl>
          <w:p>
            <w:pPr>
              <w:rPr>
                <w:rFonts w:ascii="楷体" w:hAnsi="楷体" w:eastAsia="楷体"/>
                <w:sz w:val="24"/>
                <w:szCs w:val="24"/>
              </w:rPr>
            </w:pPr>
          </w:p>
        </w:tc>
        <w:tc>
          <w:tcPr>
            <w:tcW w:w="4536" w:type="dxa"/>
            <w:vMerge w:val="continue"/>
            <w:tcBorders>
              <w:bottom w:val="single" w:color="000000" w:sz="4" w:space="0"/>
            </w:tcBorders>
          </w:tcPr>
          <w:p>
            <w:pPr>
              <w:spacing w:line="360" w:lineRule="auto"/>
              <w:rPr>
                <w:rFonts w:ascii="楷体" w:hAnsi="楷体" w:eastAsia="楷体"/>
                <w:sz w:val="24"/>
                <w:szCs w:val="24"/>
              </w:rPr>
            </w:pPr>
          </w:p>
        </w:tc>
      </w:tr>
    </w:tbl>
    <w:p>
      <w:pPr>
        <w:pStyle w:val="4"/>
        <w:spacing w:line="360" w:lineRule="auto"/>
        <w:rPr>
          <w:rFonts w:hint="eastAsia" w:ascii="宋体" w:hAnsi="宋体" w:cs="宋体"/>
          <w:sz w:val="44"/>
          <w:szCs w:val="44"/>
          <w:highlight w:val="none"/>
          <w:lang w:val="en-US" w:eastAsia="zh-CN"/>
        </w:rPr>
      </w:pPr>
      <w:r>
        <w:rPr>
          <w:rFonts w:hint="eastAsia" w:ascii="宋体" w:hAnsi="宋体" w:cs="宋体"/>
          <w:sz w:val="44"/>
          <w:szCs w:val="44"/>
          <w:highlight w:val="none"/>
          <w:lang w:val="en-US" w:eastAsia="zh-CN"/>
        </w:rPr>
        <w:t>（封面）</w:t>
      </w:r>
    </w:p>
    <w:p>
      <w:pPr>
        <w:pStyle w:val="4"/>
        <w:numPr>
          <w:ilvl w:val="0"/>
          <w:numId w:val="0"/>
        </w:numPr>
        <w:spacing w:line="360" w:lineRule="auto"/>
        <w:rPr>
          <w:rFonts w:hint="eastAsia"/>
          <w:lang w:val="en-US" w:eastAsia="zh-CN"/>
        </w:rPr>
      </w:pPr>
      <w:r>
        <w:rPr>
          <w:rFonts w:hint="eastAsia" w:ascii="宋体" w:hAnsi="宋体" w:cs="宋体"/>
          <w:sz w:val="44"/>
          <w:szCs w:val="44"/>
          <w:highlight w:val="none"/>
          <w:lang w:val="en-US" w:eastAsia="zh-CN"/>
        </w:rPr>
        <w:t>第五章</w:t>
      </w:r>
      <w:r>
        <w:rPr>
          <w:rFonts w:hint="eastAsia" w:ascii="宋体" w:hAnsi="宋体" w:cs="宋体"/>
          <w:sz w:val="44"/>
          <w:szCs w:val="44"/>
          <w:highlight w:val="none"/>
        </w:rPr>
        <w:t>响应文件格式</w:t>
      </w:r>
    </w:p>
    <w:p>
      <w:pPr>
        <w:snapToGrid w:val="0"/>
        <w:spacing w:before="120" w:beforeLines="50" w:after="50"/>
        <w:jc w:val="center"/>
        <w:rPr>
          <w:rFonts w:hint="eastAsia" w:hAnsi="宋体" w:cs="宋体"/>
          <w:b/>
          <w:bCs/>
          <w:color w:val="auto"/>
          <w:kern w:val="0"/>
          <w:sz w:val="44"/>
          <w:szCs w:val="21"/>
          <w:highlight w:val="none"/>
        </w:rPr>
      </w:pPr>
      <w:r>
        <w:rPr>
          <w:rFonts w:hint="eastAsia" w:hAnsi="宋体" w:cs="宋体"/>
          <w:b/>
          <w:bCs/>
          <w:color w:val="auto"/>
          <w:kern w:val="0"/>
          <w:sz w:val="44"/>
          <w:szCs w:val="21"/>
          <w:highlight w:val="none"/>
        </w:rPr>
        <w:t>响应文件</w:t>
      </w: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kern w:val="2"/>
          <w:sz w:val="24"/>
          <w:szCs w:val="24"/>
          <w:lang w:val="en-US" w:eastAsia="zh-CN" w:bidi="ar-SA"/>
        </w:rPr>
      </w:pPr>
      <w:r>
        <w:rPr>
          <w:rFonts w:hAnsi="宋体"/>
          <w:bCs/>
          <w:color w:val="auto"/>
          <w:sz w:val="24"/>
          <w:highlight w:val="none"/>
        </w:rPr>
        <w:t>项目名称：</w:t>
      </w:r>
      <w:r>
        <w:rPr>
          <w:rFonts w:hint="eastAsia" w:ascii="宋体" w:hAnsi="宋体" w:eastAsia="宋体" w:cs="宋体"/>
          <w:b w:val="0"/>
          <w:bCs/>
          <w:kern w:val="2"/>
          <w:sz w:val="24"/>
          <w:szCs w:val="24"/>
          <w:lang w:val="en-US" w:eastAsia="zh-CN" w:bidi="ar-SA"/>
        </w:rPr>
        <w:t>跨境电商一期公寓样板间家具采购项目</w:t>
      </w:r>
    </w:p>
    <w:p>
      <w:pPr>
        <w:snapToGrid w:val="0"/>
        <w:spacing w:before="120" w:beforeLines="50" w:after="50"/>
        <w:ind w:firstLine="360" w:firstLineChars="150"/>
        <w:rPr>
          <w:bCs/>
          <w:color w:val="auto"/>
          <w:sz w:val="24"/>
          <w:highlight w:val="none"/>
        </w:rPr>
      </w:pPr>
    </w:p>
    <w:p>
      <w:pPr>
        <w:snapToGrid w:val="0"/>
        <w:spacing w:before="120" w:beforeLines="50" w:after="50"/>
        <w:ind w:firstLine="360" w:firstLineChars="150"/>
        <w:rPr>
          <w:bCs/>
          <w:color w:val="auto"/>
          <w:sz w:val="24"/>
          <w:szCs w:val="20"/>
          <w:highlight w:val="none"/>
        </w:rPr>
      </w:pPr>
    </w:p>
    <w:p>
      <w:pPr>
        <w:snapToGrid w:val="0"/>
        <w:spacing w:before="120" w:beforeLines="50" w:after="50"/>
        <w:ind w:firstLine="360" w:firstLineChars="150"/>
        <w:rPr>
          <w:bCs/>
          <w:color w:val="auto"/>
          <w:sz w:val="24"/>
          <w:szCs w:val="20"/>
          <w:highlight w:val="none"/>
        </w:rPr>
      </w:pPr>
    </w:p>
    <w:p>
      <w:pPr>
        <w:pStyle w:val="7"/>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响应</w:t>
      </w:r>
      <w:r>
        <w:rPr>
          <w:rFonts w:hAnsi="宋体"/>
          <w:bCs/>
          <w:color w:val="auto"/>
          <w:sz w:val="24"/>
          <w:szCs w:val="24"/>
          <w:highlight w:val="none"/>
        </w:rPr>
        <w:t>文件名称：</w:t>
      </w:r>
      <w:r>
        <w:rPr>
          <w:rFonts w:hint="eastAsia" w:hAnsi="宋体"/>
          <w:bCs/>
          <w:color w:val="auto"/>
          <w:sz w:val="24"/>
          <w:szCs w:val="24"/>
          <w:highlight w:val="none"/>
          <w:lang w:eastAsia="zh-CN"/>
        </w:rPr>
        <w:t>价格</w:t>
      </w:r>
      <w:r>
        <w:rPr>
          <w:rFonts w:hAnsi="宋体"/>
          <w:bCs/>
          <w:color w:val="auto"/>
          <w:sz w:val="24"/>
          <w:szCs w:val="24"/>
          <w:highlight w:val="none"/>
        </w:rPr>
        <w:t>文件</w:t>
      </w:r>
      <w:r>
        <w:rPr>
          <w:rFonts w:hint="eastAsia" w:hAnsi="宋体"/>
          <w:bCs/>
          <w:color w:val="auto"/>
          <w:sz w:val="24"/>
          <w:szCs w:val="24"/>
          <w:highlight w:val="none"/>
        </w:rPr>
        <w:t>/</w:t>
      </w:r>
      <w:r>
        <w:rPr>
          <w:rFonts w:hAnsi="宋体"/>
          <w:bCs/>
          <w:color w:val="auto"/>
          <w:sz w:val="24"/>
          <w:szCs w:val="24"/>
          <w:highlight w:val="none"/>
        </w:rPr>
        <w:t>商务文件</w:t>
      </w:r>
      <w:r>
        <w:rPr>
          <w:rFonts w:hint="eastAsia" w:hAnsi="宋体"/>
          <w:bCs/>
          <w:color w:val="auto"/>
          <w:sz w:val="24"/>
          <w:szCs w:val="24"/>
          <w:highlight w:val="none"/>
        </w:rPr>
        <w:t>/</w:t>
      </w:r>
      <w:r>
        <w:rPr>
          <w:rFonts w:hAnsi="宋体"/>
          <w:bCs/>
          <w:color w:val="auto"/>
          <w:sz w:val="24"/>
          <w:szCs w:val="24"/>
          <w:highlight w:val="none"/>
        </w:rPr>
        <w:t>技术文件</w:t>
      </w:r>
    </w:p>
    <w:p>
      <w:pPr>
        <w:pStyle w:val="7"/>
        <w:snapToGrid w:val="0"/>
        <w:spacing w:before="50" w:after="50"/>
        <w:ind w:firstLine="360" w:firstLineChars="150"/>
        <w:rPr>
          <w:bCs/>
          <w:color w:val="auto"/>
          <w:sz w:val="24"/>
          <w:szCs w:val="24"/>
          <w:highlight w:val="none"/>
        </w:rPr>
      </w:pPr>
    </w:p>
    <w:p>
      <w:pPr>
        <w:pStyle w:val="7"/>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名称：</w:t>
      </w:r>
    </w:p>
    <w:p>
      <w:pPr>
        <w:pStyle w:val="7"/>
        <w:snapToGrid w:val="0"/>
        <w:spacing w:before="50" w:after="50"/>
        <w:ind w:firstLine="360" w:firstLineChars="150"/>
        <w:rPr>
          <w:bCs/>
          <w:color w:val="auto"/>
          <w:sz w:val="24"/>
          <w:szCs w:val="24"/>
          <w:highlight w:val="none"/>
        </w:rPr>
      </w:pPr>
    </w:p>
    <w:p>
      <w:pPr>
        <w:pStyle w:val="7"/>
        <w:snapToGrid w:val="0"/>
        <w:spacing w:before="50" w:after="50"/>
        <w:ind w:firstLine="360" w:firstLineChars="150"/>
        <w:rPr>
          <w:bCs/>
          <w:color w:val="auto"/>
          <w:sz w:val="24"/>
          <w:szCs w:val="24"/>
          <w:highlight w:val="none"/>
        </w:rPr>
      </w:pPr>
      <w:r>
        <w:rPr>
          <w:rFonts w:hint="eastAsia" w:hAnsi="宋体"/>
          <w:bCs/>
          <w:color w:val="auto"/>
          <w:sz w:val="24"/>
          <w:szCs w:val="24"/>
          <w:highlight w:val="none"/>
        </w:rPr>
        <w:t>供应商</w:t>
      </w:r>
      <w:r>
        <w:rPr>
          <w:rFonts w:hAnsi="宋体"/>
          <w:bCs/>
          <w:color w:val="auto"/>
          <w:sz w:val="24"/>
          <w:szCs w:val="24"/>
          <w:highlight w:val="none"/>
        </w:rPr>
        <w:t>地址：</w:t>
      </w:r>
    </w:p>
    <w:p>
      <w:pPr>
        <w:pStyle w:val="7"/>
        <w:snapToGrid w:val="0"/>
        <w:spacing w:before="50" w:after="50"/>
        <w:ind w:firstLine="360" w:firstLineChars="150"/>
        <w:rPr>
          <w:bCs/>
          <w:color w:val="auto"/>
          <w:sz w:val="24"/>
          <w:szCs w:val="24"/>
          <w:highlight w:val="none"/>
        </w:rPr>
      </w:pPr>
    </w:p>
    <w:p>
      <w:pPr>
        <w:pStyle w:val="7"/>
        <w:snapToGrid w:val="0"/>
        <w:spacing w:before="50" w:after="50"/>
        <w:ind w:firstLine="360" w:firstLineChars="150"/>
        <w:rPr>
          <w:bCs/>
          <w:color w:val="auto"/>
          <w:sz w:val="24"/>
          <w:szCs w:val="24"/>
          <w:highlight w:val="none"/>
        </w:rPr>
      </w:pPr>
      <w:r>
        <w:rPr>
          <w:rFonts w:hAnsi="宋体"/>
          <w:bCs/>
          <w:color w:val="auto"/>
          <w:sz w:val="24"/>
          <w:szCs w:val="24"/>
          <w:highlight w:val="none"/>
        </w:rPr>
        <w:t>在</w:t>
      </w:r>
      <w:r>
        <w:rPr>
          <w:bCs/>
          <w:color w:val="auto"/>
          <w:sz w:val="24"/>
          <w:szCs w:val="24"/>
          <w:highlight w:val="none"/>
        </w:rPr>
        <w:t xml:space="preserve">  </w:t>
      </w:r>
      <w:r>
        <w:rPr>
          <w:rFonts w:hAnsi="宋体"/>
          <w:bCs/>
          <w:color w:val="auto"/>
          <w:sz w:val="24"/>
          <w:szCs w:val="24"/>
          <w:highlight w:val="none"/>
        </w:rPr>
        <w:t>年</w:t>
      </w:r>
      <w:r>
        <w:rPr>
          <w:bCs/>
          <w:color w:val="auto"/>
          <w:sz w:val="24"/>
          <w:szCs w:val="24"/>
          <w:highlight w:val="none"/>
        </w:rPr>
        <w:t xml:space="preserve">  </w:t>
      </w:r>
      <w:r>
        <w:rPr>
          <w:rFonts w:hAnsi="宋体"/>
          <w:bCs/>
          <w:color w:val="auto"/>
          <w:sz w:val="24"/>
          <w:szCs w:val="24"/>
          <w:highlight w:val="none"/>
        </w:rPr>
        <w:t>月</w:t>
      </w:r>
      <w:r>
        <w:rPr>
          <w:bCs/>
          <w:color w:val="auto"/>
          <w:sz w:val="24"/>
          <w:szCs w:val="24"/>
          <w:highlight w:val="none"/>
        </w:rPr>
        <w:t xml:space="preserve">  </w:t>
      </w:r>
      <w:r>
        <w:rPr>
          <w:rFonts w:hAnsi="宋体"/>
          <w:bCs/>
          <w:color w:val="auto"/>
          <w:sz w:val="24"/>
          <w:szCs w:val="24"/>
          <w:highlight w:val="none"/>
        </w:rPr>
        <w:t>日</w:t>
      </w:r>
      <w:r>
        <w:rPr>
          <w:bCs/>
          <w:color w:val="auto"/>
          <w:sz w:val="24"/>
          <w:szCs w:val="24"/>
          <w:highlight w:val="none"/>
        </w:rPr>
        <w:t xml:space="preserve">  </w:t>
      </w:r>
      <w:r>
        <w:rPr>
          <w:rFonts w:hAnsi="宋体"/>
          <w:bCs/>
          <w:color w:val="auto"/>
          <w:sz w:val="24"/>
          <w:szCs w:val="24"/>
          <w:highlight w:val="none"/>
        </w:rPr>
        <w:t>时</w:t>
      </w:r>
      <w:r>
        <w:rPr>
          <w:bCs/>
          <w:color w:val="auto"/>
          <w:sz w:val="24"/>
          <w:szCs w:val="24"/>
          <w:highlight w:val="none"/>
        </w:rPr>
        <w:t xml:space="preserve">  </w:t>
      </w:r>
      <w:r>
        <w:rPr>
          <w:rFonts w:hAnsi="宋体"/>
          <w:bCs/>
          <w:color w:val="auto"/>
          <w:sz w:val="24"/>
          <w:szCs w:val="24"/>
          <w:highlight w:val="none"/>
        </w:rPr>
        <w:t>分之前不得启封</w:t>
      </w:r>
    </w:p>
    <w:p>
      <w:pPr>
        <w:snapToGrid w:val="0"/>
        <w:spacing w:before="120" w:beforeLines="50" w:after="50"/>
        <w:ind w:firstLine="4080" w:firstLineChars="1700"/>
        <w:rPr>
          <w:bCs/>
          <w:color w:val="auto"/>
          <w:sz w:val="24"/>
          <w:szCs w:val="20"/>
          <w:highlight w:val="none"/>
        </w:rPr>
      </w:pPr>
    </w:p>
    <w:p>
      <w:pPr>
        <w:snapToGrid w:val="0"/>
        <w:spacing w:before="120" w:beforeLines="50" w:after="50"/>
        <w:ind w:firstLine="645"/>
        <w:jc w:val="center"/>
        <w:rPr>
          <w:bCs/>
          <w:color w:val="auto"/>
          <w:sz w:val="24"/>
          <w:szCs w:val="20"/>
          <w:highlight w:val="none"/>
        </w:rPr>
      </w:pPr>
      <w:r>
        <w:rPr>
          <w:bCs/>
          <w:color w:val="auto"/>
          <w:sz w:val="24"/>
          <w:highlight w:val="none"/>
        </w:rPr>
        <w:t xml:space="preserve">                        </w:t>
      </w:r>
      <w:r>
        <w:rPr>
          <w:rFonts w:hAnsi="宋体"/>
          <w:bCs/>
          <w:color w:val="auto"/>
          <w:sz w:val="24"/>
          <w:highlight w:val="none"/>
        </w:rPr>
        <w:t>年</w:t>
      </w:r>
      <w:r>
        <w:rPr>
          <w:bCs/>
          <w:color w:val="auto"/>
          <w:sz w:val="24"/>
          <w:highlight w:val="none"/>
        </w:rPr>
        <w:t xml:space="preserve">    </w:t>
      </w:r>
      <w:r>
        <w:rPr>
          <w:rFonts w:hAnsi="宋体"/>
          <w:bCs/>
          <w:color w:val="auto"/>
          <w:sz w:val="24"/>
          <w:highlight w:val="none"/>
        </w:rPr>
        <w:t>月</w:t>
      </w:r>
      <w:r>
        <w:rPr>
          <w:bCs/>
          <w:color w:val="auto"/>
          <w:sz w:val="24"/>
          <w:highlight w:val="none"/>
        </w:rPr>
        <w:t xml:space="preserve">    </w:t>
      </w:r>
      <w:r>
        <w:rPr>
          <w:rFonts w:hAnsi="宋体"/>
          <w:bCs/>
          <w:color w:val="auto"/>
          <w:sz w:val="24"/>
          <w:highlight w:val="none"/>
        </w:rPr>
        <w:t>日</w:t>
      </w:r>
    </w:p>
    <w:p>
      <w:pPr>
        <w:spacing w:line="360" w:lineRule="auto"/>
        <w:rPr>
          <w:rFonts w:hint="eastAsia" w:ascii="宋体" w:hAnsi="宋体" w:cs="宋体"/>
          <w:b/>
          <w:highlight w:val="none"/>
        </w:rPr>
      </w:pPr>
      <w:r>
        <w:rPr>
          <w:color w:val="auto"/>
          <w:highlight w:val="none"/>
        </w:rPr>
        <w:br w:type="page"/>
      </w:r>
    </w:p>
    <w:p>
      <w:pPr>
        <w:pStyle w:val="13"/>
        <w:tabs>
          <w:tab w:val="left" w:pos="7560"/>
          <w:tab w:val="left" w:pos="7920"/>
        </w:tabs>
        <w:spacing w:line="360" w:lineRule="auto"/>
        <w:jc w:val="center"/>
        <w:rPr>
          <w:rFonts w:hint="eastAsia" w:hAnsi="宋体"/>
          <w:color w:val="auto"/>
          <w:sz w:val="36"/>
          <w:szCs w:val="36"/>
          <w:highlight w:val="none"/>
        </w:rPr>
      </w:pPr>
      <w:r>
        <w:rPr>
          <w:rFonts w:hint="eastAsia" w:hAnsi="宋体"/>
          <w:color w:val="auto"/>
          <w:sz w:val="36"/>
          <w:szCs w:val="36"/>
          <w:highlight w:val="none"/>
        </w:rPr>
        <w:t>目    录</w:t>
      </w:r>
    </w:p>
    <w:p>
      <w:pPr>
        <w:pStyle w:val="13"/>
        <w:spacing w:line="360" w:lineRule="auto"/>
        <w:ind w:firstLine="1540" w:firstLineChars="550"/>
        <w:rPr>
          <w:rFonts w:hint="eastAsia" w:hAnsi="宋体" w:eastAsia="宋体"/>
          <w:color w:val="auto"/>
          <w:sz w:val="28"/>
          <w:szCs w:val="28"/>
          <w:highlight w:val="none"/>
          <w:lang w:eastAsia="zh-CN"/>
        </w:rPr>
      </w:pPr>
      <w:r>
        <w:rPr>
          <w:rFonts w:hint="eastAsia" w:hAnsi="宋体"/>
          <w:color w:val="auto"/>
          <w:sz w:val="28"/>
          <w:szCs w:val="28"/>
          <w:highlight w:val="none"/>
          <w:lang w:eastAsia="zh-CN"/>
        </w:rPr>
        <w:t>（</w:t>
      </w:r>
      <w:r>
        <w:rPr>
          <w:rFonts w:hint="eastAsia" w:hAnsi="宋体"/>
          <w:color w:val="auto"/>
          <w:sz w:val="28"/>
          <w:szCs w:val="28"/>
          <w:highlight w:val="none"/>
          <w:lang w:val="en-US" w:eastAsia="zh-CN"/>
        </w:rPr>
        <w:t>按照评分细则</w:t>
      </w:r>
      <w:r>
        <w:rPr>
          <w:rFonts w:hint="eastAsia" w:ascii="宋体" w:hAnsi="宋体"/>
          <w:color w:val="auto"/>
          <w:highlight w:val="none"/>
        </w:rPr>
        <w:t>，并相应添加目录，以便查找</w:t>
      </w:r>
      <w:r>
        <w:rPr>
          <w:rFonts w:hint="eastAsia" w:hAnsi="宋体"/>
          <w:color w:val="auto"/>
          <w:sz w:val="28"/>
          <w:szCs w:val="28"/>
          <w:highlight w:val="none"/>
          <w:lang w:eastAsia="zh-CN"/>
        </w:rPr>
        <w:t>）</w:t>
      </w:r>
    </w:p>
    <w:p>
      <w:pPr>
        <w:pStyle w:val="13"/>
        <w:spacing w:line="360" w:lineRule="auto"/>
        <w:rPr>
          <w:rFonts w:hint="default" w:hAnsi="宋体"/>
          <w:color w:val="auto"/>
          <w:highlight w:val="none"/>
          <w:lang w:val="en-US"/>
        </w:rPr>
      </w:pPr>
      <w:r>
        <w:rPr>
          <w:rFonts w:hint="eastAsia" w:hAnsi="宋体"/>
          <w:color w:val="auto"/>
          <w:highlight w:val="none"/>
        </w:rPr>
        <w:t>一、</w:t>
      </w:r>
      <w:r>
        <w:rPr>
          <w:rFonts w:hint="eastAsia" w:hAnsi="宋体"/>
          <w:color w:val="auto"/>
          <w:highlight w:val="none"/>
          <w:lang w:val="en-US" w:eastAsia="zh-CN"/>
        </w:rPr>
        <w:t>营业执照</w:t>
      </w:r>
    </w:p>
    <w:p>
      <w:pPr>
        <w:pStyle w:val="13"/>
        <w:spacing w:line="360" w:lineRule="auto"/>
        <w:rPr>
          <w:rFonts w:hint="eastAsia" w:hAnsi="宋体"/>
          <w:color w:val="auto"/>
          <w:highlight w:val="none"/>
          <w:lang w:eastAsia="zh-CN"/>
        </w:rPr>
      </w:pPr>
      <w:r>
        <w:rPr>
          <w:rFonts w:hint="eastAsia" w:hAnsi="宋体"/>
          <w:color w:val="auto"/>
          <w:highlight w:val="none"/>
        </w:rPr>
        <w:t>二、</w:t>
      </w:r>
      <w:r>
        <w:rPr>
          <w:rFonts w:hint="eastAsia" w:hAnsi="宋体"/>
          <w:color w:val="auto"/>
          <w:highlight w:val="none"/>
          <w:lang w:val="en-US" w:eastAsia="zh-CN"/>
        </w:rPr>
        <w:t>报价</w:t>
      </w:r>
      <w:r>
        <w:rPr>
          <w:rFonts w:hint="eastAsia" w:hAnsi="宋体"/>
          <w:color w:val="auto"/>
          <w:highlight w:val="none"/>
          <w:lang w:eastAsia="zh-CN"/>
        </w:rPr>
        <w:t>文件</w:t>
      </w:r>
    </w:p>
    <w:p>
      <w:pPr>
        <w:pStyle w:val="13"/>
        <w:spacing w:line="360" w:lineRule="auto"/>
        <w:rPr>
          <w:rFonts w:hint="eastAsia" w:hAnsi="宋体" w:eastAsia="宋体"/>
          <w:color w:val="auto"/>
          <w:highlight w:val="none"/>
          <w:lang w:eastAsia="zh-CN"/>
        </w:rPr>
      </w:pPr>
      <w:r>
        <w:rPr>
          <w:rFonts w:hint="eastAsia" w:hAnsi="宋体"/>
          <w:color w:val="auto"/>
          <w:highlight w:val="none"/>
          <w:lang w:eastAsia="zh-CN"/>
        </w:rPr>
        <w:t>三、</w:t>
      </w:r>
      <w:r>
        <w:rPr>
          <w:rFonts w:hint="eastAsia" w:hAnsi="宋体"/>
          <w:color w:val="auto"/>
          <w:highlight w:val="none"/>
        </w:rPr>
        <w:t>技术文件</w:t>
      </w:r>
      <w:r>
        <w:rPr>
          <w:rFonts w:hint="eastAsia" w:hAnsi="宋体"/>
          <w:color w:val="auto"/>
          <w:highlight w:val="none"/>
          <w:lang w:eastAsia="zh-CN"/>
        </w:rPr>
        <w:t>（</w:t>
      </w:r>
      <w:r>
        <w:rPr>
          <w:rFonts w:hint="eastAsia" w:hAnsi="宋体"/>
          <w:color w:val="auto"/>
          <w:highlight w:val="none"/>
          <w:lang w:val="en-US" w:eastAsia="zh-CN"/>
        </w:rPr>
        <w:t>含技术偏离表</w:t>
      </w:r>
      <w:r>
        <w:rPr>
          <w:rFonts w:hint="eastAsia" w:hAnsi="宋体"/>
          <w:color w:val="auto"/>
          <w:highlight w:val="none"/>
          <w:lang w:eastAsia="zh-CN"/>
        </w:rPr>
        <w:t>）</w:t>
      </w:r>
    </w:p>
    <w:p>
      <w:pPr>
        <w:pStyle w:val="13"/>
        <w:spacing w:line="360" w:lineRule="auto"/>
        <w:rPr>
          <w:rFonts w:hint="eastAsia" w:hAnsi="宋体"/>
          <w:color w:val="auto"/>
          <w:highlight w:val="none"/>
          <w:lang w:val="en-US" w:eastAsia="zh-CN"/>
        </w:rPr>
      </w:pPr>
      <w:r>
        <w:rPr>
          <w:rFonts w:hint="eastAsia" w:hAnsi="宋体"/>
          <w:color w:val="auto"/>
          <w:highlight w:val="none"/>
          <w:lang w:val="en-US" w:eastAsia="zh-CN"/>
        </w:rPr>
        <w:t>四、实施方案</w:t>
      </w:r>
    </w:p>
    <w:p>
      <w:pPr>
        <w:pStyle w:val="13"/>
        <w:spacing w:line="360" w:lineRule="auto"/>
        <w:rPr>
          <w:rFonts w:hint="eastAsia" w:hAnsi="宋体"/>
          <w:color w:val="auto"/>
          <w:highlight w:val="none"/>
          <w:lang w:val="en-US" w:eastAsia="zh-CN"/>
        </w:rPr>
      </w:pPr>
      <w:r>
        <w:rPr>
          <w:rFonts w:hint="eastAsia" w:hAnsi="宋体"/>
          <w:color w:val="auto"/>
          <w:highlight w:val="none"/>
          <w:lang w:val="en-US" w:eastAsia="zh-CN"/>
        </w:rPr>
        <w:t>五、售后服务方案</w:t>
      </w:r>
    </w:p>
    <w:p>
      <w:pPr>
        <w:rPr>
          <w:rFonts w:hint="eastAsia"/>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firstLine="315" w:firstLineChars="150"/>
        <w:rPr>
          <w:rFonts w:hint="eastAsia" w:hAnsi="宋体"/>
          <w:color w:val="auto"/>
          <w:highlight w:val="none"/>
        </w:rPr>
      </w:pPr>
    </w:p>
    <w:p>
      <w:pPr>
        <w:pStyle w:val="13"/>
        <w:tabs>
          <w:tab w:val="left" w:pos="7380"/>
        </w:tabs>
        <w:spacing w:line="360" w:lineRule="auto"/>
        <w:ind w:right="-153" w:rightChars="-73"/>
        <w:rPr>
          <w:rFonts w:hint="eastAsia" w:hAnsi="宋体"/>
          <w:color w:val="auto"/>
          <w:highlight w:val="none"/>
        </w:rPr>
      </w:pPr>
    </w:p>
    <w:tbl>
      <w:tblPr>
        <w:tblStyle w:val="23"/>
        <w:tblpPr w:leftFromText="180" w:rightFromText="180" w:vertAnchor="text" w:horzAnchor="page" w:tblpX="1543" w:tblpY="557"/>
        <w:tblOverlap w:val="never"/>
        <w:tblW w:w="14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1079"/>
        <w:gridCol w:w="5366"/>
        <w:gridCol w:w="934"/>
        <w:gridCol w:w="933"/>
        <w:gridCol w:w="1347"/>
        <w:gridCol w:w="1347"/>
        <w:gridCol w:w="2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417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项目名称：钦州跨境贸易电子商务产业园二期配套项目首批公寓租赁配套设施家电采购</w:t>
            </w:r>
            <w:r>
              <w:rPr>
                <w:rFonts w:hint="eastAsia" w:ascii="宋体" w:hAnsi="宋体" w:eastAsia="宋体" w:cs="宋体"/>
                <w:b/>
                <w:bCs/>
                <w:i w:val="0"/>
                <w:iCs w:val="0"/>
                <w:color w:val="000000"/>
                <w:kern w:val="0"/>
                <w:sz w:val="28"/>
                <w:szCs w:val="28"/>
                <w:u w:val="none"/>
                <w:lang w:val="en-US" w:eastAsia="zh-CN" w:bidi="ar"/>
              </w:rPr>
              <w:br w:type="textWrapping"/>
            </w:r>
            <w:r>
              <w:rPr>
                <w:rFonts w:hint="eastAsia" w:ascii="宋体" w:hAnsi="宋体" w:eastAsia="宋体" w:cs="宋体"/>
                <w:b/>
                <w:bCs/>
                <w:i w:val="0"/>
                <w:iCs w:val="0"/>
                <w:color w:val="000000"/>
                <w:kern w:val="0"/>
                <w:sz w:val="28"/>
                <w:szCs w:val="28"/>
                <w:u w:val="none"/>
                <w:lang w:val="en-US" w:eastAsia="zh-CN" w:bidi="ar"/>
              </w:rPr>
              <w:t>报价清单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5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型号及参数</w:t>
            </w:r>
          </w:p>
        </w:tc>
        <w:tc>
          <w:tcPr>
            <w:tcW w:w="9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综合单价</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合价（元）</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空调插座</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开关插座嵌入式插座可调节空调冰箱隐藏插座白色三孔16A，含安装</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个</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2</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电视机</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55寸液晶电视，智能联网</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3</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洗衣机</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家用波轮洗衣机8公斤+出水口阀安装</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50 </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冰箱</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216升三门冰箱</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w:t>
            </w:r>
          </w:p>
        </w:tc>
        <w:tc>
          <w:tcPr>
            <w:tcW w:w="10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变频冷暖挂机</w:t>
            </w:r>
          </w:p>
        </w:tc>
        <w:tc>
          <w:tcPr>
            <w:tcW w:w="53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1.匹数：1.5匹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2.变频挂机、冷暖型</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3.全年能源消耗效率APF≥4.29</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4.制冷量（W）3510（200~4200）；制冷功效（w）975（80~1550）；制冷剂R32</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5.制热量（w）4650（200~5720）；制热功率（w）1300（80~1920）</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6.具有电辅加热功能，功率1050w；支持220V~/50HZ电压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r>
              <w:rPr>
                <w:rFonts w:hint="default" w:ascii="宋体" w:hAnsi="宋体" w:eastAsia="宋体" w:cs="宋体"/>
                <w:i w:val="0"/>
                <w:iCs w:val="0"/>
                <w:color w:val="000000"/>
                <w:kern w:val="0"/>
                <w:sz w:val="24"/>
                <w:szCs w:val="24"/>
                <w:u w:val="none"/>
                <w:lang w:val="en-US" w:eastAsia="zh-CN" w:bidi="ar"/>
              </w:rPr>
              <w:t>循环风量（m³/h)</w:t>
            </w:r>
            <w:r>
              <w:rPr>
                <w:rFonts w:hint="eastAsia" w:ascii="宋体" w:hAnsi="宋体" w:eastAsia="宋体" w:cs="宋体"/>
                <w:i w:val="0"/>
                <w:iCs w:val="0"/>
                <w:color w:val="000000"/>
                <w:kern w:val="0"/>
                <w:sz w:val="24"/>
                <w:szCs w:val="24"/>
                <w:u w:val="none"/>
                <w:lang w:val="en-US" w:eastAsia="zh-CN" w:bidi="ar"/>
              </w:rPr>
              <w:t>：650</w:t>
            </w:r>
          </w:p>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8.不锈钢支架安装</w:t>
            </w:r>
          </w:p>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9.三级（含）及以上等级能效</w:t>
            </w:r>
          </w:p>
        </w:tc>
        <w:tc>
          <w:tcPr>
            <w:tcW w:w="9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50</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w:t>
            </w:r>
          </w:p>
        </w:tc>
        <w:tc>
          <w:tcPr>
            <w:tcW w:w="13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723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jc w:val="both"/>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含税费、运费、安装费、装卸费等。发票税率     %</w:t>
            </w:r>
          </w:p>
        </w:tc>
        <w:tc>
          <w:tcPr>
            <w:tcW w:w="1347" w:type="dxa"/>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含税总价</w:t>
            </w:r>
          </w:p>
        </w:tc>
        <w:tc>
          <w:tcPr>
            <w:tcW w:w="134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44" w:type="dxa"/>
            <w:tcBorders>
              <w:top w:val="single" w:color="000000" w:sz="4" w:space="0"/>
              <w:left w:val="single" w:color="auto"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9659" w:type="dxa"/>
            <w:gridSpan w:val="5"/>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不含税总价</w:t>
            </w:r>
          </w:p>
        </w:tc>
        <w:tc>
          <w:tcPr>
            <w:tcW w:w="134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7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66"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供应商名称（章）：</w:t>
            </w:r>
          </w:p>
        </w:tc>
        <w:tc>
          <w:tcPr>
            <w:tcW w:w="93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4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7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66"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法定代表人或授权的代理人（签章） ：      </w:t>
            </w:r>
          </w:p>
        </w:tc>
        <w:tc>
          <w:tcPr>
            <w:tcW w:w="93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4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8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7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66"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p>
        </w:tc>
        <w:tc>
          <w:tcPr>
            <w:tcW w:w="93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4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2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7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5366"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报价日期：</w:t>
            </w:r>
          </w:p>
        </w:tc>
        <w:tc>
          <w:tcPr>
            <w:tcW w:w="93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93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4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34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bl>
    <w:p>
      <w:pPr>
        <w:snapToGrid w:val="0"/>
        <w:spacing w:before="120" w:beforeLines="50" w:after="50" w:line="400" w:lineRule="exact"/>
        <w:rPr>
          <w:color w:val="auto"/>
          <w:sz w:val="30"/>
          <w:szCs w:val="20"/>
          <w:highlight w:val="none"/>
        </w:rPr>
      </w:pPr>
      <w:r>
        <w:rPr>
          <w:color w:val="auto"/>
          <w:sz w:val="24"/>
          <w:highlight w:val="none"/>
        </w:rPr>
        <w:t xml:space="preserve">                                               </w:t>
      </w:r>
    </w:p>
    <w:p>
      <w:pPr>
        <w:spacing w:line="300" w:lineRule="auto"/>
        <w:jc w:val="both"/>
        <w:rPr>
          <w:rFonts w:ascii="宋体" w:hAnsi="宋体"/>
          <w:b/>
          <w:color w:val="000000"/>
          <w:sz w:val="28"/>
          <w:szCs w:val="28"/>
        </w:rPr>
      </w:pPr>
      <w:r>
        <w:rPr>
          <w:rFonts w:ascii="宋体" w:hAnsi="宋体"/>
          <w:b/>
          <w:color w:val="000000"/>
          <w:sz w:val="28"/>
          <w:szCs w:val="28"/>
        </w:rPr>
        <w:t>技术偏离情况说明表</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color w:val="000000"/>
          <w:szCs w:val="21"/>
        </w:rPr>
      </w:pPr>
      <w:r>
        <w:rPr>
          <w:rFonts w:hint="eastAsia" w:ascii="宋体" w:hAnsi="宋体" w:eastAsia="宋体" w:cs="宋体"/>
          <w:b w:val="0"/>
          <w:bCs/>
          <w:kern w:val="2"/>
          <w:sz w:val="24"/>
          <w:szCs w:val="24"/>
          <w:lang w:val="en-US" w:eastAsia="zh-CN" w:bidi="ar-SA"/>
        </w:rPr>
        <w:t>钦州跨境贸易电子商务产业园二期配套项目首批公寓租赁配套设施家电采购</w:t>
      </w:r>
      <w:r>
        <w:rPr>
          <w:rFonts w:ascii="宋体" w:hAnsi="宋体"/>
          <w:color w:val="000000"/>
          <w:szCs w:val="21"/>
        </w:rPr>
        <w:t xml:space="preserve"> </w:t>
      </w:r>
    </w:p>
    <w:tbl>
      <w:tblPr>
        <w:tblStyle w:val="23"/>
        <w:tblW w:w="997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82"/>
        <w:gridCol w:w="1262"/>
        <w:gridCol w:w="2254"/>
        <w:gridCol w:w="2611"/>
        <w:gridCol w:w="1590"/>
        <w:gridCol w:w="147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35" w:hRule="atLeast"/>
        </w:trPr>
        <w:tc>
          <w:tcPr>
            <w:tcW w:w="782"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序号</w:t>
            </w:r>
          </w:p>
        </w:tc>
        <w:tc>
          <w:tcPr>
            <w:tcW w:w="1262"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名称</w:t>
            </w:r>
          </w:p>
        </w:tc>
        <w:tc>
          <w:tcPr>
            <w:tcW w:w="2254"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lang w:val="en-US" w:eastAsia="zh-CN"/>
              </w:rPr>
              <w:t>技术</w:t>
            </w:r>
            <w:r>
              <w:rPr>
                <w:rFonts w:hint="eastAsia" w:ascii="宋体" w:hAnsi="宋体" w:cs="宋体"/>
                <w:szCs w:val="21"/>
              </w:rPr>
              <w:t>文件要求</w:t>
            </w:r>
          </w:p>
        </w:tc>
        <w:tc>
          <w:tcPr>
            <w:tcW w:w="2611"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响应文件具体响应</w:t>
            </w:r>
          </w:p>
        </w:tc>
        <w:tc>
          <w:tcPr>
            <w:tcW w:w="1590"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响应/偏离</w:t>
            </w:r>
          </w:p>
        </w:tc>
        <w:tc>
          <w:tcPr>
            <w:tcW w:w="1478"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24" w:hRule="atLeast"/>
        </w:trPr>
        <w:tc>
          <w:tcPr>
            <w:tcW w:w="782"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1</w:t>
            </w:r>
          </w:p>
        </w:tc>
        <w:tc>
          <w:tcPr>
            <w:tcW w:w="1262"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254"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611" w:type="dxa"/>
            <w:noWrap w:val="0"/>
            <w:vAlign w:val="center"/>
          </w:tcPr>
          <w:p>
            <w:pPr>
              <w:adjustRightInd w:val="0"/>
              <w:snapToGrid w:val="0"/>
              <w:spacing w:line="300" w:lineRule="auto"/>
              <w:jc w:val="center"/>
              <w:outlineLvl w:val="0"/>
              <w:rPr>
                <w:rFonts w:hint="eastAsia" w:ascii="宋体" w:hAnsi="宋体" w:cs="宋体"/>
                <w:szCs w:val="21"/>
              </w:rPr>
            </w:pPr>
          </w:p>
        </w:tc>
        <w:tc>
          <w:tcPr>
            <w:tcW w:w="1590" w:type="dxa"/>
            <w:noWrap w:val="0"/>
            <w:vAlign w:val="center"/>
          </w:tcPr>
          <w:p>
            <w:pPr>
              <w:adjustRightInd w:val="0"/>
              <w:snapToGrid w:val="0"/>
              <w:spacing w:line="300" w:lineRule="auto"/>
              <w:jc w:val="center"/>
              <w:outlineLvl w:val="0"/>
              <w:rPr>
                <w:rFonts w:hint="eastAsia" w:ascii="宋体" w:hAnsi="宋体" w:cs="宋体"/>
                <w:szCs w:val="21"/>
              </w:rPr>
            </w:pPr>
          </w:p>
        </w:tc>
        <w:tc>
          <w:tcPr>
            <w:tcW w:w="1478" w:type="dxa"/>
            <w:noWrap w:val="0"/>
            <w:vAlign w:val="center"/>
          </w:tcPr>
          <w:p>
            <w:pPr>
              <w:adjustRightInd w:val="0"/>
              <w:snapToGrid w:val="0"/>
              <w:spacing w:line="300" w:lineRule="auto"/>
              <w:jc w:val="center"/>
              <w:outlineLvl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782"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2</w:t>
            </w:r>
          </w:p>
        </w:tc>
        <w:tc>
          <w:tcPr>
            <w:tcW w:w="1262"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254"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611" w:type="dxa"/>
            <w:noWrap w:val="0"/>
            <w:vAlign w:val="center"/>
          </w:tcPr>
          <w:p>
            <w:pPr>
              <w:adjustRightInd w:val="0"/>
              <w:snapToGrid w:val="0"/>
              <w:spacing w:line="300" w:lineRule="auto"/>
              <w:jc w:val="center"/>
              <w:outlineLvl w:val="0"/>
              <w:rPr>
                <w:rFonts w:hint="eastAsia" w:ascii="宋体" w:hAnsi="宋体" w:cs="宋体"/>
                <w:szCs w:val="21"/>
              </w:rPr>
            </w:pPr>
          </w:p>
        </w:tc>
        <w:tc>
          <w:tcPr>
            <w:tcW w:w="1590" w:type="dxa"/>
            <w:noWrap w:val="0"/>
            <w:vAlign w:val="center"/>
          </w:tcPr>
          <w:p>
            <w:pPr>
              <w:adjustRightInd w:val="0"/>
              <w:snapToGrid w:val="0"/>
              <w:spacing w:line="300" w:lineRule="auto"/>
              <w:jc w:val="center"/>
              <w:outlineLvl w:val="0"/>
              <w:rPr>
                <w:rFonts w:hint="eastAsia" w:ascii="宋体" w:hAnsi="宋体" w:cs="宋体"/>
                <w:szCs w:val="21"/>
              </w:rPr>
            </w:pPr>
          </w:p>
        </w:tc>
        <w:tc>
          <w:tcPr>
            <w:tcW w:w="1478" w:type="dxa"/>
            <w:noWrap w:val="0"/>
            <w:vAlign w:val="center"/>
          </w:tcPr>
          <w:p>
            <w:pPr>
              <w:adjustRightInd w:val="0"/>
              <w:snapToGrid w:val="0"/>
              <w:spacing w:line="300" w:lineRule="auto"/>
              <w:jc w:val="center"/>
              <w:outlineLvl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782"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3</w:t>
            </w:r>
          </w:p>
        </w:tc>
        <w:tc>
          <w:tcPr>
            <w:tcW w:w="1262"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254"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611" w:type="dxa"/>
            <w:noWrap w:val="0"/>
            <w:vAlign w:val="center"/>
          </w:tcPr>
          <w:p>
            <w:pPr>
              <w:adjustRightInd w:val="0"/>
              <w:snapToGrid w:val="0"/>
              <w:spacing w:line="300" w:lineRule="auto"/>
              <w:jc w:val="center"/>
              <w:outlineLvl w:val="0"/>
              <w:rPr>
                <w:rFonts w:hint="eastAsia" w:ascii="宋体" w:hAnsi="宋体" w:cs="宋体"/>
                <w:szCs w:val="21"/>
              </w:rPr>
            </w:pPr>
          </w:p>
        </w:tc>
        <w:tc>
          <w:tcPr>
            <w:tcW w:w="1590" w:type="dxa"/>
            <w:noWrap w:val="0"/>
            <w:vAlign w:val="center"/>
          </w:tcPr>
          <w:p>
            <w:pPr>
              <w:adjustRightInd w:val="0"/>
              <w:snapToGrid w:val="0"/>
              <w:spacing w:line="300" w:lineRule="auto"/>
              <w:jc w:val="center"/>
              <w:outlineLvl w:val="0"/>
              <w:rPr>
                <w:rFonts w:hint="eastAsia" w:ascii="宋体" w:hAnsi="宋体" w:cs="宋体"/>
                <w:szCs w:val="21"/>
              </w:rPr>
            </w:pPr>
          </w:p>
        </w:tc>
        <w:tc>
          <w:tcPr>
            <w:tcW w:w="1478" w:type="dxa"/>
            <w:noWrap w:val="0"/>
            <w:vAlign w:val="center"/>
          </w:tcPr>
          <w:p>
            <w:pPr>
              <w:adjustRightInd w:val="0"/>
              <w:snapToGrid w:val="0"/>
              <w:spacing w:line="300" w:lineRule="auto"/>
              <w:jc w:val="center"/>
              <w:outlineLvl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782"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4</w:t>
            </w:r>
          </w:p>
        </w:tc>
        <w:tc>
          <w:tcPr>
            <w:tcW w:w="1262"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254"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611" w:type="dxa"/>
            <w:noWrap w:val="0"/>
            <w:vAlign w:val="center"/>
          </w:tcPr>
          <w:p>
            <w:pPr>
              <w:adjustRightInd w:val="0"/>
              <w:snapToGrid w:val="0"/>
              <w:spacing w:line="300" w:lineRule="auto"/>
              <w:jc w:val="center"/>
              <w:outlineLvl w:val="0"/>
              <w:rPr>
                <w:rFonts w:hint="eastAsia" w:ascii="宋体" w:hAnsi="宋体" w:cs="宋体"/>
                <w:szCs w:val="21"/>
              </w:rPr>
            </w:pPr>
          </w:p>
        </w:tc>
        <w:tc>
          <w:tcPr>
            <w:tcW w:w="1590" w:type="dxa"/>
            <w:noWrap w:val="0"/>
            <w:vAlign w:val="center"/>
          </w:tcPr>
          <w:p>
            <w:pPr>
              <w:adjustRightInd w:val="0"/>
              <w:snapToGrid w:val="0"/>
              <w:spacing w:line="300" w:lineRule="auto"/>
              <w:jc w:val="center"/>
              <w:outlineLvl w:val="0"/>
              <w:rPr>
                <w:rFonts w:hint="eastAsia" w:ascii="宋体" w:hAnsi="宋体" w:cs="宋体"/>
                <w:szCs w:val="21"/>
              </w:rPr>
            </w:pPr>
          </w:p>
        </w:tc>
        <w:tc>
          <w:tcPr>
            <w:tcW w:w="1478" w:type="dxa"/>
            <w:noWrap w:val="0"/>
            <w:vAlign w:val="center"/>
          </w:tcPr>
          <w:p>
            <w:pPr>
              <w:adjustRightInd w:val="0"/>
              <w:snapToGrid w:val="0"/>
              <w:spacing w:line="300" w:lineRule="auto"/>
              <w:jc w:val="center"/>
              <w:outlineLvl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42" w:hRule="atLeast"/>
        </w:trPr>
        <w:tc>
          <w:tcPr>
            <w:tcW w:w="782"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5</w:t>
            </w:r>
          </w:p>
        </w:tc>
        <w:tc>
          <w:tcPr>
            <w:tcW w:w="1262"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254"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611" w:type="dxa"/>
            <w:noWrap w:val="0"/>
            <w:vAlign w:val="center"/>
          </w:tcPr>
          <w:p>
            <w:pPr>
              <w:adjustRightInd w:val="0"/>
              <w:snapToGrid w:val="0"/>
              <w:spacing w:line="300" w:lineRule="auto"/>
              <w:jc w:val="center"/>
              <w:outlineLvl w:val="0"/>
              <w:rPr>
                <w:rFonts w:hint="eastAsia" w:ascii="宋体" w:hAnsi="宋体" w:cs="宋体"/>
                <w:szCs w:val="21"/>
              </w:rPr>
            </w:pPr>
          </w:p>
        </w:tc>
        <w:tc>
          <w:tcPr>
            <w:tcW w:w="1590" w:type="dxa"/>
            <w:noWrap w:val="0"/>
            <w:vAlign w:val="center"/>
          </w:tcPr>
          <w:p>
            <w:pPr>
              <w:adjustRightInd w:val="0"/>
              <w:snapToGrid w:val="0"/>
              <w:spacing w:line="300" w:lineRule="auto"/>
              <w:jc w:val="center"/>
              <w:outlineLvl w:val="0"/>
              <w:rPr>
                <w:rFonts w:hint="eastAsia" w:ascii="宋体" w:hAnsi="宋体" w:cs="宋体"/>
                <w:szCs w:val="21"/>
              </w:rPr>
            </w:pPr>
          </w:p>
        </w:tc>
        <w:tc>
          <w:tcPr>
            <w:tcW w:w="1478" w:type="dxa"/>
            <w:noWrap w:val="0"/>
            <w:vAlign w:val="center"/>
          </w:tcPr>
          <w:p>
            <w:pPr>
              <w:adjustRightInd w:val="0"/>
              <w:snapToGrid w:val="0"/>
              <w:spacing w:line="300" w:lineRule="auto"/>
              <w:jc w:val="center"/>
              <w:outlineLvl w:val="0"/>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9" w:hRule="atLeast"/>
        </w:trPr>
        <w:tc>
          <w:tcPr>
            <w:tcW w:w="782" w:type="dxa"/>
            <w:noWrap w:val="0"/>
            <w:vAlign w:val="center"/>
          </w:tcPr>
          <w:p>
            <w:pPr>
              <w:adjustRightInd w:val="0"/>
              <w:snapToGrid w:val="0"/>
              <w:spacing w:line="300" w:lineRule="auto"/>
              <w:jc w:val="center"/>
              <w:outlineLvl w:val="0"/>
              <w:rPr>
                <w:rFonts w:hint="eastAsia" w:ascii="宋体" w:hAnsi="宋体" w:cs="宋体"/>
                <w:szCs w:val="21"/>
              </w:rPr>
            </w:pPr>
            <w:r>
              <w:rPr>
                <w:rFonts w:hint="eastAsia" w:ascii="宋体" w:hAnsi="宋体" w:cs="宋体"/>
                <w:szCs w:val="21"/>
              </w:rPr>
              <w:t>…</w:t>
            </w:r>
          </w:p>
        </w:tc>
        <w:tc>
          <w:tcPr>
            <w:tcW w:w="1262"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254"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2611" w:type="dxa"/>
            <w:noWrap w:val="0"/>
            <w:vAlign w:val="center"/>
          </w:tcPr>
          <w:p>
            <w:pPr>
              <w:adjustRightInd w:val="0"/>
              <w:snapToGrid w:val="0"/>
              <w:spacing w:line="300" w:lineRule="auto"/>
              <w:jc w:val="center"/>
              <w:outlineLvl w:val="0"/>
              <w:rPr>
                <w:rFonts w:hint="eastAsia" w:ascii="宋体" w:hAnsi="宋体" w:cs="宋体"/>
                <w:szCs w:val="21"/>
              </w:rPr>
            </w:pPr>
          </w:p>
        </w:tc>
        <w:tc>
          <w:tcPr>
            <w:tcW w:w="1590" w:type="dxa"/>
            <w:tcBorders>
              <w:righ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c>
          <w:tcPr>
            <w:tcW w:w="1478" w:type="dxa"/>
            <w:tcBorders>
              <w:left w:val="single" w:color="auto" w:sz="4" w:space="0"/>
            </w:tcBorders>
            <w:noWrap w:val="0"/>
            <w:vAlign w:val="center"/>
          </w:tcPr>
          <w:p>
            <w:pPr>
              <w:adjustRightInd w:val="0"/>
              <w:snapToGrid w:val="0"/>
              <w:spacing w:line="300" w:lineRule="auto"/>
              <w:jc w:val="center"/>
              <w:outlineLvl w:val="0"/>
              <w:rPr>
                <w:rFonts w:hint="eastAsia" w:ascii="宋体" w:hAnsi="宋体" w:cs="宋体"/>
                <w:szCs w:val="21"/>
              </w:rPr>
            </w:pPr>
          </w:p>
        </w:tc>
      </w:tr>
    </w:tbl>
    <w:p>
      <w:pPr>
        <w:pStyle w:val="11"/>
        <w:spacing w:line="500" w:lineRule="exact"/>
        <w:ind w:firstLine="0" w:firstLineChars="0"/>
        <w:rPr>
          <w:rFonts w:ascii="宋体" w:hAnsi="宋体" w:eastAsia="宋体"/>
          <w:color w:val="000000"/>
          <w:sz w:val="21"/>
          <w:szCs w:val="21"/>
        </w:rPr>
      </w:pPr>
    </w:p>
    <w:p>
      <w:pPr>
        <w:pStyle w:val="11"/>
        <w:spacing w:line="500" w:lineRule="exact"/>
        <w:ind w:firstLine="0" w:firstLineChars="0"/>
        <w:rPr>
          <w:rFonts w:ascii="宋体" w:hAnsi="宋体" w:eastAsia="宋体"/>
          <w:color w:val="000000"/>
          <w:sz w:val="21"/>
          <w:szCs w:val="21"/>
        </w:rPr>
      </w:pPr>
      <w:r>
        <w:rPr>
          <w:rFonts w:ascii="宋体" w:hAnsi="宋体" w:eastAsia="宋体"/>
          <w:color w:val="000000"/>
          <w:sz w:val="21"/>
          <w:szCs w:val="21"/>
        </w:rPr>
        <w:t>说明：应对文件“第</w:t>
      </w:r>
      <w:r>
        <w:rPr>
          <w:rFonts w:hint="eastAsia" w:ascii="宋体" w:hAnsi="宋体" w:eastAsia="宋体"/>
          <w:color w:val="000000"/>
          <w:sz w:val="21"/>
          <w:szCs w:val="21"/>
          <w:lang w:val="en-US" w:eastAsia="zh-CN"/>
        </w:rPr>
        <w:t>二</w:t>
      </w:r>
      <w:r>
        <w:rPr>
          <w:rFonts w:ascii="宋体" w:hAnsi="宋体" w:eastAsia="宋体"/>
          <w:color w:val="000000"/>
          <w:sz w:val="21"/>
          <w:szCs w:val="21"/>
        </w:rPr>
        <w:t xml:space="preserve">章 </w:t>
      </w:r>
      <w:r>
        <w:rPr>
          <w:rFonts w:hint="eastAsia" w:ascii="宋体" w:hAnsi="宋体" w:eastAsia="宋体"/>
          <w:color w:val="000000"/>
          <w:sz w:val="21"/>
          <w:szCs w:val="21"/>
        </w:rPr>
        <w:t>项目需求</w:t>
      </w:r>
      <w:r>
        <w:rPr>
          <w:rFonts w:ascii="宋体" w:hAnsi="宋体" w:eastAsia="宋体"/>
          <w:color w:val="000000"/>
          <w:sz w:val="21"/>
          <w:szCs w:val="21"/>
        </w:rPr>
        <w:t>”，说明所提供</w:t>
      </w:r>
      <w:r>
        <w:rPr>
          <w:rFonts w:hint="eastAsia" w:ascii="宋体" w:hAnsi="宋体" w:eastAsia="宋体"/>
          <w:color w:val="000000"/>
          <w:sz w:val="21"/>
          <w:szCs w:val="21"/>
          <w:lang w:val="en-US" w:eastAsia="zh-CN"/>
        </w:rPr>
        <w:t>货物</w:t>
      </w:r>
      <w:r>
        <w:rPr>
          <w:rFonts w:ascii="宋体" w:hAnsi="宋体" w:eastAsia="宋体"/>
          <w:color w:val="000000"/>
          <w:sz w:val="21"/>
          <w:szCs w:val="21"/>
        </w:rPr>
        <w:t>已对</w:t>
      </w:r>
      <w:r>
        <w:rPr>
          <w:rFonts w:hint="eastAsia" w:ascii="宋体" w:hAnsi="宋体" w:eastAsia="宋体"/>
          <w:color w:val="000000"/>
          <w:sz w:val="21"/>
          <w:szCs w:val="21"/>
          <w:lang w:val="en-US" w:eastAsia="zh-CN"/>
        </w:rPr>
        <w:t>需求</w:t>
      </w:r>
      <w:r>
        <w:rPr>
          <w:rFonts w:ascii="宋体" w:hAnsi="宋体" w:eastAsia="宋体"/>
          <w:color w:val="000000"/>
          <w:sz w:val="21"/>
          <w:szCs w:val="21"/>
        </w:rPr>
        <w:t>文件的技术规格做出了实质性的偏离</w:t>
      </w:r>
      <w:r>
        <w:rPr>
          <w:rFonts w:hint="eastAsia" w:ascii="宋体" w:hAnsi="宋体" w:eastAsia="宋体"/>
          <w:color w:val="000000"/>
          <w:sz w:val="21"/>
          <w:szCs w:val="21"/>
          <w:lang w:eastAsia="zh-CN"/>
        </w:rPr>
        <w:t>，</w:t>
      </w:r>
      <w:r>
        <w:rPr>
          <w:rFonts w:hint="eastAsia" w:ascii="宋体" w:hAnsi="宋体" w:eastAsia="宋体"/>
          <w:color w:val="000000"/>
          <w:sz w:val="21"/>
          <w:szCs w:val="21"/>
          <w:lang w:val="en-US" w:eastAsia="zh-CN"/>
        </w:rPr>
        <w:t>如无说明偏离则默认响应采购需求</w:t>
      </w:r>
      <w:r>
        <w:rPr>
          <w:rFonts w:ascii="宋体" w:hAnsi="宋体" w:eastAsia="宋体"/>
          <w:color w:val="000000"/>
          <w:sz w:val="21"/>
          <w:szCs w:val="21"/>
        </w:rPr>
        <w:t>。</w:t>
      </w:r>
    </w:p>
    <w:p>
      <w:pPr>
        <w:pStyle w:val="13"/>
        <w:spacing w:line="500" w:lineRule="exact"/>
        <w:rPr>
          <w:rFonts w:hAnsi="宋体"/>
          <w:color w:val="000000"/>
        </w:rPr>
      </w:pPr>
    </w:p>
    <w:p>
      <w:pPr>
        <w:pStyle w:val="13"/>
        <w:spacing w:line="500" w:lineRule="exact"/>
        <w:rPr>
          <w:rFonts w:hAnsi="宋体"/>
          <w:color w:val="000000"/>
          <w:sz w:val="21"/>
        </w:rPr>
      </w:pPr>
    </w:p>
    <w:p>
      <w:pPr>
        <w:pStyle w:val="13"/>
        <w:spacing w:line="500" w:lineRule="exact"/>
        <w:rPr>
          <w:rFonts w:hAnsi="宋体"/>
          <w:color w:val="000000"/>
          <w:sz w:val="21"/>
          <w:u w:val="single"/>
        </w:rPr>
      </w:pPr>
      <w:r>
        <w:rPr>
          <w:rFonts w:hint="eastAsia" w:hAnsi="宋体"/>
          <w:color w:val="000000"/>
          <w:sz w:val="21"/>
        </w:rPr>
        <w:t xml:space="preserve">                                       </w:t>
      </w:r>
      <w:r>
        <w:rPr>
          <w:rFonts w:hAnsi="宋体"/>
          <w:color w:val="000000"/>
          <w:sz w:val="21"/>
        </w:rPr>
        <w:t>法定代表人或法定代表人授权代表（签字）</w:t>
      </w:r>
      <w:r>
        <w:rPr>
          <w:rFonts w:hint="eastAsia" w:hAnsi="宋体"/>
          <w:color w:val="000000"/>
          <w:sz w:val="21"/>
        </w:rPr>
        <w:t>：</w:t>
      </w:r>
      <w:r>
        <w:rPr>
          <w:rFonts w:hAnsi="宋体"/>
          <w:color w:val="000000"/>
          <w:sz w:val="21"/>
          <w:u w:val="single"/>
        </w:rPr>
        <w:t xml:space="preserve">              </w:t>
      </w:r>
    </w:p>
    <w:p>
      <w:pPr>
        <w:pStyle w:val="13"/>
        <w:spacing w:line="500" w:lineRule="exact"/>
        <w:ind w:firstLine="4200" w:firstLineChars="2000"/>
        <w:rPr>
          <w:rFonts w:hAnsi="宋体"/>
          <w:color w:val="000000"/>
          <w:sz w:val="21"/>
          <w:u w:val="single"/>
        </w:rPr>
      </w:pPr>
      <w:r>
        <w:rPr>
          <w:rFonts w:hint="eastAsia" w:hAnsi="宋体"/>
          <w:color w:val="000000"/>
          <w:sz w:val="21"/>
        </w:rPr>
        <w:t>磋商</w:t>
      </w:r>
      <w:r>
        <w:rPr>
          <w:rFonts w:hAnsi="宋体"/>
          <w:color w:val="000000"/>
          <w:sz w:val="21"/>
        </w:rPr>
        <w:t>供应商名称（签章）：</w:t>
      </w:r>
      <w:r>
        <w:rPr>
          <w:rFonts w:hAnsi="宋体"/>
          <w:color w:val="000000"/>
          <w:sz w:val="21"/>
          <w:u w:val="single"/>
        </w:rPr>
        <w:t xml:space="preserve">                              </w:t>
      </w:r>
    </w:p>
    <w:p>
      <w:pPr>
        <w:pStyle w:val="13"/>
        <w:spacing w:line="500" w:lineRule="exact"/>
        <w:ind w:firstLine="4200" w:firstLineChars="2000"/>
        <w:rPr>
          <w:rFonts w:hint="default"/>
          <w:lang w:val="en-US" w:eastAsia="zh-CN"/>
        </w:rPr>
      </w:pPr>
      <w:r>
        <w:rPr>
          <w:rFonts w:hAnsi="宋体"/>
          <w:color w:val="000000"/>
          <w:sz w:val="21"/>
        </w:rPr>
        <w:t>时间：</w:t>
      </w:r>
      <w:r>
        <w:rPr>
          <w:rFonts w:hAnsi="宋体"/>
          <w:color w:val="000000"/>
          <w:sz w:val="21"/>
          <w:u w:val="single"/>
        </w:rPr>
        <w:t xml:space="preserve">     </w:t>
      </w:r>
      <w:r>
        <w:rPr>
          <w:rFonts w:hAnsi="宋体"/>
          <w:color w:val="000000"/>
          <w:sz w:val="21"/>
        </w:rPr>
        <w:t>年</w:t>
      </w:r>
      <w:r>
        <w:rPr>
          <w:rFonts w:hAnsi="宋体"/>
          <w:color w:val="000000"/>
          <w:sz w:val="21"/>
          <w:u w:val="single"/>
        </w:rPr>
        <w:t xml:space="preserve">     </w:t>
      </w:r>
      <w:r>
        <w:rPr>
          <w:rFonts w:hAnsi="宋体"/>
          <w:color w:val="000000"/>
          <w:sz w:val="21"/>
        </w:rPr>
        <w:t>月</w:t>
      </w:r>
      <w:r>
        <w:rPr>
          <w:rFonts w:hAnsi="宋体"/>
          <w:color w:val="000000"/>
          <w:sz w:val="21"/>
          <w:u w:val="single"/>
        </w:rPr>
        <w:t xml:space="preserve">    </w:t>
      </w:r>
      <w:r>
        <w:rPr>
          <w:rFonts w:hAnsi="宋体"/>
          <w:color w:val="000000"/>
          <w:sz w:val="21"/>
        </w:rPr>
        <w:t>日</w:t>
      </w:r>
    </w:p>
    <w:sectPr>
      <w:pgSz w:w="16838" w:h="11906" w:orient="landscape"/>
      <w:pgMar w:top="1531" w:right="1440" w:bottom="1417"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6058C877"/>
    <w:multiLevelType w:val="singleLevel"/>
    <w:tmpl w:val="6058C877"/>
    <w:lvl w:ilvl="0" w:tentative="0">
      <w:start w:val="2"/>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jM2FmMDAzMzdmMGFkYTNhYTAwMDE4MDZiYTQzYTg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1517DD"/>
    <w:rsid w:val="01692279"/>
    <w:rsid w:val="0187206E"/>
    <w:rsid w:val="018B2C0E"/>
    <w:rsid w:val="01B11A47"/>
    <w:rsid w:val="01E75868"/>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7E3830"/>
    <w:rsid w:val="049104C4"/>
    <w:rsid w:val="04D878A9"/>
    <w:rsid w:val="04DC1B79"/>
    <w:rsid w:val="05214488"/>
    <w:rsid w:val="054A6494"/>
    <w:rsid w:val="05555183"/>
    <w:rsid w:val="05A017DF"/>
    <w:rsid w:val="05DD2775"/>
    <w:rsid w:val="05E51322"/>
    <w:rsid w:val="060D56C3"/>
    <w:rsid w:val="06121BBF"/>
    <w:rsid w:val="0629197A"/>
    <w:rsid w:val="06351D6F"/>
    <w:rsid w:val="06551E88"/>
    <w:rsid w:val="06886D38"/>
    <w:rsid w:val="06971594"/>
    <w:rsid w:val="06C42AE0"/>
    <w:rsid w:val="070C41BB"/>
    <w:rsid w:val="0719166D"/>
    <w:rsid w:val="0747120B"/>
    <w:rsid w:val="074A2893"/>
    <w:rsid w:val="074D04C1"/>
    <w:rsid w:val="074D24C2"/>
    <w:rsid w:val="07561822"/>
    <w:rsid w:val="07574736"/>
    <w:rsid w:val="07760E64"/>
    <w:rsid w:val="07784D2E"/>
    <w:rsid w:val="078354CD"/>
    <w:rsid w:val="07A010F7"/>
    <w:rsid w:val="07AB0576"/>
    <w:rsid w:val="07B63567"/>
    <w:rsid w:val="07C32218"/>
    <w:rsid w:val="07E51AAD"/>
    <w:rsid w:val="07E60079"/>
    <w:rsid w:val="07F26858"/>
    <w:rsid w:val="08105B9E"/>
    <w:rsid w:val="081D0290"/>
    <w:rsid w:val="083B24A9"/>
    <w:rsid w:val="0853591A"/>
    <w:rsid w:val="088E7380"/>
    <w:rsid w:val="08A25D65"/>
    <w:rsid w:val="08AF5390"/>
    <w:rsid w:val="08CA553B"/>
    <w:rsid w:val="08F7532E"/>
    <w:rsid w:val="09560051"/>
    <w:rsid w:val="0957698D"/>
    <w:rsid w:val="095920CF"/>
    <w:rsid w:val="098715B8"/>
    <w:rsid w:val="0999550E"/>
    <w:rsid w:val="09CE6744"/>
    <w:rsid w:val="09EF20F3"/>
    <w:rsid w:val="09F938DF"/>
    <w:rsid w:val="0A135D35"/>
    <w:rsid w:val="0A875AA6"/>
    <w:rsid w:val="0A9C2B56"/>
    <w:rsid w:val="0AD74629"/>
    <w:rsid w:val="0B061635"/>
    <w:rsid w:val="0B0D7385"/>
    <w:rsid w:val="0B4F0EB0"/>
    <w:rsid w:val="0C0A2F5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74127F"/>
    <w:rsid w:val="0E9C2040"/>
    <w:rsid w:val="0EB473DE"/>
    <w:rsid w:val="0F31498D"/>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3C45D4"/>
    <w:rsid w:val="125838F7"/>
    <w:rsid w:val="12924115"/>
    <w:rsid w:val="130D010A"/>
    <w:rsid w:val="138758AD"/>
    <w:rsid w:val="14162842"/>
    <w:rsid w:val="14443604"/>
    <w:rsid w:val="144C726A"/>
    <w:rsid w:val="14516A37"/>
    <w:rsid w:val="147075B1"/>
    <w:rsid w:val="14A34D88"/>
    <w:rsid w:val="14C602DB"/>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A1C61"/>
    <w:rsid w:val="18EF1C33"/>
    <w:rsid w:val="1910640B"/>
    <w:rsid w:val="194F5560"/>
    <w:rsid w:val="19BC275F"/>
    <w:rsid w:val="19BF644E"/>
    <w:rsid w:val="19D84033"/>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A442B5"/>
    <w:rsid w:val="1BAA59F9"/>
    <w:rsid w:val="1BE624A8"/>
    <w:rsid w:val="1C00404F"/>
    <w:rsid w:val="1C0D36BB"/>
    <w:rsid w:val="1C2503CF"/>
    <w:rsid w:val="1C3A461F"/>
    <w:rsid w:val="1C583DAC"/>
    <w:rsid w:val="1C735BE1"/>
    <w:rsid w:val="1C7F25A2"/>
    <w:rsid w:val="1C99577A"/>
    <w:rsid w:val="1C9A1E10"/>
    <w:rsid w:val="1CD42935"/>
    <w:rsid w:val="1D5F4C18"/>
    <w:rsid w:val="1DA510CB"/>
    <w:rsid w:val="1E2C54FA"/>
    <w:rsid w:val="1E553EB9"/>
    <w:rsid w:val="1EF652E1"/>
    <w:rsid w:val="1F2B0E21"/>
    <w:rsid w:val="1F793F7F"/>
    <w:rsid w:val="1F836367"/>
    <w:rsid w:val="1F861028"/>
    <w:rsid w:val="1FA2571F"/>
    <w:rsid w:val="1FD65B26"/>
    <w:rsid w:val="20096994"/>
    <w:rsid w:val="205A54F3"/>
    <w:rsid w:val="20B31DCB"/>
    <w:rsid w:val="21077AA6"/>
    <w:rsid w:val="21093804"/>
    <w:rsid w:val="21197F58"/>
    <w:rsid w:val="216D5F5C"/>
    <w:rsid w:val="216E62F3"/>
    <w:rsid w:val="21916B6D"/>
    <w:rsid w:val="21A64B78"/>
    <w:rsid w:val="21B13D1D"/>
    <w:rsid w:val="21CA55C5"/>
    <w:rsid w:val="2204269B"/>
    <w:rsid w:val="22387007"/>
    <w:rsid w:val="22606ABC"/>
    <w:rsid w:val="22650C06"/>
    <w:rsid w:val="22AB2AC4"/>
    <w:rsid w:val="22FF7597"/>
    <w:rsid w:val="231625B2"/>
    <w:rsid w:val="237A23D8"/>
    <w:rsid w:val="23B20C73"/>
    <w:rsid w:val="240B137D"/>
    <w:rsid w:val="241B40B2"/>
    <w:rsid w:val="24352F85"/>
    <w:rsid w:val="244A3359"/>
    <w:rsid w:val="244E1589"/>
    <w:rsid w:val="2540519B"/>
    <w:rsid w:val="256C0CC0"/>
    <w:rsid w:val="2578548A"/>
    <w:rsid w:val="25C71449"/>
    <w:rsid w:val="25F215F0"/>
    <w:rsid w:val="26942D28"/>
    <w:rsid w:val="269770B2"/>
    <w:rsid w:val="26A36451"/>
    <w:rsid w:val="26E266C1"/>
    <w:rsid w:val="270B4023"/>
    <w:rsid w:val="27157D02"/>
    <w:rsid w:val="27656324"/>
    <w:rsid w:val="27870264"/>
    <w:rsid w:val="27B1252F"/>
    <w:rsid w:val="27E259BA"/>
    <w:rsid w:val="28CD6169"/>
    <w:rsid w:val="28EC413F"/>
    <w:rsid w:val="290E5506"/>
    <w:rsid w:val="291E415D"/>
    <w:rsid w:val="295E666C"/>
    <w:rsid w:val="298160F4"/>
    <w:rsid w:val="299037CC"/>
    <w:rsid w:val="29BF7001"/>
    <w:rsid w:val="29E0554E"/>
    <w:rsid w:val="29F31A76"/>
    <w:rsid w:val="2A721527"/>
    <w:rsid w:val="2A747086"/>
    <w:rsid w:val="2A9F138C"/>
    <w:rsid w:val="2ADA6A24"/>
    <w:rsid w:val="2AF56E78"/>
    <w:rsid w:val="2B151288"/>
    <w:rsid w:val="2B2758B4"/>
    <w:rsid w:val="2B5B1A54"/>
    <w:rsid w:val="2B8F6A94"/>
    <w:rsid w:val="2BAC2952"/>
    <w:rsid w:val="2BE97109"/>
    <w:rsid w:val="2C0D620D"/>
    <w:rsid w:val="2C9222B2"/>
    <w:rsid w:val="2CC72354"/>
    <w:rsid w:val="2CE17AF6"/>
    <w:rsid w:val="2D0E3DF0"/>
    <w:rsid w:val="2D562DA3"/>
    <w:rsid w:val="2D814792"/>
    <w:rsid w:val="2DA61B83"/>
    <w:rsid w:val="2DD16068"/>
    <w:rsid w:val="2E275983"/>
    <w:rsid w:val="2E5C30C4"/>
    <w:rsid w:val="2EB11F33"/>
    <w:rsid w:val="2EC914F5"/>
    <w:rsid w:val="2EE030CB"/>
    <w:rsid w:val="2EED037D"/>
    <w:rsid w:val="2EF45034"/>
    <w:rsid w:val="2F0D4219"/>
    <w:rsid w:val="2F1858E6"/>
    <w:rsid w:val="2F481357"/>
    <w:rsid w:val="2F4A12EC"/>
    <w:rsid w:val="2F5D6B4A"/>
    <w:rsid w:val="2FA40017"/>
    <w:rsid w:val="2FD54191"/>
    <w:rsid w:val="2FF8776F"/>
    <w:rsid w:val="30343CBE"/>
    <w:rsid w:val="30352292"/>
    <w:rsid w:val="3057388E"/>
    <w:rsid w:val="30713E31"/>
    <w:rsid w:val="309F7328"/>
    <w:rsid w:val="30C01803"/>
    <w:rsid w:val="30E03C78"/>
    <w:rsid w:val="31737A8A"/>
    <w:rsid w:val="31DE7DDE"/>
    <w:rsid w:val="31EF7C74"/>
    <w:rsid w:val="32235819"/>
    <w:rsid w:val="3248763B"/>
    <w:rsid w:val="32680FEB"/>
    <w:rsid w:val="33775B8F"/>
    <w:rsid w:val="33C21F16"/>
    <w:rsid w:val="33C431D8"/>
    <w:rsid w:val="33EC1E87"/>
    <w:rsid w:val="34187FBF"/>
    <w:rsid w:val="342E13FC"/>
    <w:rsid w:val="34386E63"/>
    <w:rsid w:val="343878D7"/>
    <w:rsid w:val="346D3A4C"/>
    <w:rsid w:val="34726A66"/>
    <w:rsid w:val="347859D4"/>
    <w:rsid w:val="347F7F77"/>
    <w:rsid w:val="349D49F2"/>
    <w:rsid w:val="34A66879"/>
    <w:rsid w:val="352254B2"/>
    <w:rsid w:val="35977D2B"/>
    <w:rsid w:val="35C44201"/>
    <w:rsid w:val="35D61630"/>
    <w:rsid w:val="35D75749"/>
    <w:rsid w:val="36017463"/>
    <w:rsid w:val="36224B3C"/>
    <w:rsid w:val="363021BC"/>
    <w:rsid w:val="36346DF8"/>
    <w:rsid w:val="364D70B8"/>
    <w:rsid w:val="36672EB7"/>
    <w:rsid w:val="369A6683"/>
    <w:rsid w:val="36A327A8"/>
    <w:rsid w:val="36CC64EB"/>
    <w:rsid w:val="376818C6"/>
    <w:rsid w:val="3784008B"/>
    <w:rsid w:val="37935872"/>
    <w:rsid w:val="37AF1DE5"/>
    <w:rsid w:val="37C67274"/>
    <w:rsid w:val="37EA44E4"/>
    <w:rsid w:val="38087C00"/>
    <w:rsid w:val="382F1738"/>
    <w:rsid w:val="38504E49"/>
    <w:rsid w:val="389D7EB4"/>
    <w:rsid w:val="38B5247B"/>
    <w:rsid w:val="38EE2D91"/>
    <w:rsid w:val="390126DC"/>
    <w:rsid w:val="390D6580"/>
    <w:rsid w:val="391D3D3D"/>
    <w:rsid w:val="39230C42"/>
    <w:rsid w:val="3A1A7CBB"/>
    <w:rsid w:val="3A1D0C5F"/>
    <w:rsid w:val="3A416AF3"/>
    <w:rsid w:val="3A8C68EF"/>
    <w:rsid w:val="3AA1056B"/>
    <w:rsid w:val="3AC871CA"/>
    <w:rsid w:val="3B1309D9"/>
    <w:rsid w:val="3B1C043E"/>
    <w:rsid w:val="3B5D5507"/>
    <w:rsid w:val="3B7207E0"/>
    <w:rsid w:val="3B80764B"/>
    <w:rsid w:val="3BB373DD"/>
    <w:rsid w:val="3BFE6763"/>
    <w:rsid w:val="3C14431E"/>
    <w:rsid w:val="3C215F09"/>
    <w:rsid w:val="3C3B7C3D"/>
    <w:rsid w:val="3C7F0083"/>
    <w:rsid w:val="3CDA47D1"/>
    <w:rsid w:val="3CDB1427"/>
    <w:rsid w:val="3D094D96"/>
    <w:rsid w:val="3D983929"/>
    <w:rsid w:val="3DC634B9"/>
    <w:rsid w:val="3E025954"/>
    <w:rsid w:val="3E074FEE"/>
    <w:rsid w:val="3E2855B5"/>
    <w:rsid w:val="3E311C5D"/>
    <w:rsid w:val="3E670DCC"/>
    <w:rsid w:val="3E8F57BC"/>
    <w:rsid w:val="3EC07CB0"/>
    <w:rsid w:val="3ED34E21"/>
    <w:rsid w:val="3EE12565"/>
    <w:rsid w:val="3F27385C"/>
    <w:rsid w:val="3F305F4A"/>
    <w:rsid w:val="3F704656"/>
    <w:rsid w:val="3F995A6D"/>
    <w:rsid w:val="3F9F6646"/>
    <w:rsid w:val="3FC95E0D"/>
    <w:rsid w:val="3FDC1598"/>
    <w:rsid w:val="3FF5495A"/>
    <w:rsid w:val="40091F67"/>
    <w:rsid w:val="401D3D65"/>
    <w:rsid w:val="401F1903"/>
    <w:rsid w:val="403C26D2"/>
    <w:rsid w:val="403E0ADE"/>
    <w:rsid w:val="40421178"/>
    <w:rsid w:val="40E73CA3"/>
    <w:rsid w:val="40F03B15"/>
    <w:rsid w:val="40F74DC4"/>
    <w:rsid w:val="416D0A93"/>
    <w:rsid w:val="416F34E5"/>
    <w:rsid w:val="41C35FA3"/>
    <w:rsid w:val="41D177C9"/>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385D88"/>
    <w:rsid w:val="44522D00"/>
    <w:rsid w:val="44752007"/>
    <w:rsid w:val="4484657E"/>
    <w:rsid w:val="45301DEA"/>
    <w:rsid w:val="453C55F1"/>
    <w:rsid w:val="455E71E3"/>
    <w:rsid w:val="455F58A4"/>
    <w:rsid w:val="458F08D8"/>
    <w:rsid w:val="45C71D87"/>
    <w:rsid w:val="460627C9"/>
    <w:rsid w:val="4640104E"/>
    <w:rsid w:val="464B62C7"/>
    <w:rsid w:val="46651261"/>
    <w:rsid w:val="46713CC7"/>
    <w:rsid w:val="46802FC8"/>
    <w:rsid w:val="46B26934"/>
    <w:rsid w:val="46B9142D"/>
    <w:rsid w:val="47037533"/>
    <w:rsid w:val="47197C97"/>
    <w:rsid w:val="47795A1B"/>
    <w:rsid w:val="47904D47"/>
    <w:rsid w:val="47B44A8B"/>
    <w:rsid w:val="47BB6E7E"/>
    <w:rsid w:val="47D25D21"/>
    <w:rsid w:val="47EA265E"/>
    <w:rsid w:val="47FD42B6"/>
    <w:rsid w:val="48445842"/>
    <w:rsid w:val="487E3345"/>
    <w:rsid w:val="48953C10"/>
    <w:rsid w:val="48A24101"/>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A17A7"/>
    <w:rsid w:val="4BE24E3A"/>
    <w:rsid w:val="4C037059"/>
    <w:rsid w:val="4C1D08F9"/>
    <w:rsid w:val="4C40574E"/>
    <w:rsid w:val="4C5A28C7"/>
    <w:rsid w:val="4C7E0836"/>
    <w:rsid w:val="4C8042E4"/>
    <w:rsid w:val="4C955A66"/>
    <w:rsid w:val="4CB05149"/>
    <w:rsid w:val="4D3771C8"/>
    <w:rsid w:val="4D4E6B20"/>
    <w:rsid w:val="4D573446"/>
    <w:rsid w:val="4D6E0FB7"/>
    <w:rsid w:val="4D6E75E8"/>
    <w:rsid w:val="4D785DBE"/>
    <w:rsid w:val="4D9B7AE1"/>
    <w:rsid w:val="4DBB14AE"/>
    <w:rsid w:val="4DC8122F"/>
    <w:rsid w:val="4E6C2DA7"/>
    <w:rsid w:val="4EAC54CF"/>
    <w:rsid w:val="4EC1060E"/>
    <w:rsid w:val="4EC56875"/>
    <w:rsid w:val="4EFB456B"/>
    <w:rsid w:val="4F513D5F"/>
    <w:rsid w:val="4F58505D"/>
    <w:rsid w:val="4F7312EE"/>
    <w:rsid w:val="4F8F3473"/>
    <w:rsid w:val="4FB43CBE"/>
    <w:rsid w:val="4FE0147F"/>
    <w:rsid w:val="505C621A"/>
    <w:rsid w:val="50C06D1F"/>
    <w:rsid w:val="50FC56A3"/>
    <w:rsid w:val="51095EB7"/>
    <w:rsid w:val="51173C66"/>
    <w:rsid w:val="51513818"/>
    <w:rsid w:val="517E1B7C"/>
    <w:rsid w:val="51997656"/>
    <w:rsid w:val="51D12E85"/>
    <w:rsid w:val="51EF7715"/>
    <w:rsid w:val="52006FED"/>
    <w:rsid w:val="52007258"/>
    <w:rsid w:val="52496CF3"/>
    <w:rsid w:val="5255726A"/>
    <w:rsid w:val="52696687"/>
    <w:rsid w:val="52750578"/>
    <w:rsid w:val="52874BD3"/>
    <w:rsid w:val="52A74AA4"/>
    <w:rsid w:val="52CF3507"/>
    <w:rsid w:val="52E266E0"/>
    <w:rsid w:val="52E67553"/>
    <w:rsid w:val="530A2FBB"/>
    <w:rsid w:val="53444042"/>
    <w:rsid w:val="53601D0A"/>
    <w:rsid w:val="53A65241"/>
    <w:rsid w:val="53EC783E"/>
    <w:rsid w:val="540A7D6B"/>
    <w:rsid w:val="541C5D33"/>
    <w:rsid w:val="541E0068"/>
    <w:rsid w:val="542354A4"/>
    <w:rsid w:val="544401CA"/>
    <w:rsid w:val="546A089D"/>
    <w:rsid w:val="546F445C"/>
    <w:rsid w:val="547F1CDB"/>
    <w:rsid w:val="54BD65BD"/>
    <w:rsid w:val="54DB4C0A"/>
    <w:rsid w:val="54F358D6"/>
    <w:rsid w:val="550F3292"/>
    <w:rsid w:val="55164B83"/>
    <w:rsid w:val="553E06E6"/>
    <w:rsid w:val="555179AA"/>
    <w:rsid w:val="55664344"/>
    <w:rsid w:val="557F7CF1"/>
    <w:rsid w:val="5593631D"/>
    <w:rsid w:val="559714A5"/>
    <w:rsid w:val="55AC06B4"/>
    <w:rsid w:val="55CE7EE0"/>
    <w:rsid w:val="55CF6D0F"/>
    <w:rsid w:val="563750AF"/>
    <w:rsid w:val="565ECF93"/>
    <w:rsid w:val="56BB18C3"/>
    <w:rsid w:val="571A2781"/>
    <w:rsid w:val="575C08FE"/>
    <w:rsid w:val="57610F7E"/>
    <w:rsid w:val="57743991"/>
    <w:rsid w:val="57967344"/>
    <w:rsid w:val="57B4793B"/>
    <w:rsid w:val="57BD2906"/>
    <w:rsid w:val="57E23853"/>
    <w:rsid w:val="580674DD"/>
    <w:rsid w:val="58137E7C"/>
    <w:rsid w:val="585050BF"/>
    <w:rsid w:val="585D1C9C"/>
    <w:rsid w:val="586B418D"/>
    <w:rsid w:val="5886610B"/>
    <w:rsid w:val="58D033F2"/>
    <w:rsid w:val="5933411F"/>
    <w:rsid w:val="59483BF5"/>
    <w:rsid w:val="5A6A261F"/>
    <w:rsid w:val="5AA27C43"/>
    <w:rsid w:val="5B0171D9"/>
    <w:rsid w:val="5B031993"/>
    <w:rsid w:val="5B0E4D86"/>
    <w:rsid w:val="5B3160A7"/>
    <w:rsid w:val="5B881C80"/>
    <w:rsid w:val="5BBB2BB0"/>
    <w:rsid w:val="5BFB3952"/>
    <w:rsid w:val="5C0476C3"/>
    <w:rsid w:val="5C324AB7"/>
    <w:rsid w:val="5C6137C8"/>
    <w:rsid w:val="5C725F5D"/>
    <w:rsid w:val="5C8C5A76"/>
    <w:rsid w:val="5C9A270A"/>
    <w:rsid w:val="5CE255E1"/>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9F13B6"/>
    <w:rsid w:val="5FBA2A47"/>
    <w:rsid w:val="5FEE7037"/>
    <w:rsid w:val="5FF426CA"/>
    <w:rsid w:val="601302A4"/>
    <w:rsid w:val="601E0974"/>
    <w:rsid w:val="6020197C"/>
    <w:rsid w:val="6037271C"/>
    <w:rsid w:val="603D06A3"/>
    <w:rsid w:val="605D19BA"/>
    <w:rsid w:val="60665514"/>
    <w:rsid w:val="607423E6"/>
    <w:rsid w:val="608E3A3D"/>
    <w:rsid w:val="609845C3"/>
    <w:rsid w:val="609C7A5A"/>
    <w:rsid w:val="60D54007"/>
    <w:rsid w:val="60D84E9F"/>
    <w:rsid w:val="6107716D"/>
    <w:rsid w:val="611C316E"/>
    <w:rsid w:val="61770B20"/>
    <w:rsid w:val="61927868"/>
    <w:rsid w:val="61B83291"/>
    <w:rsid w:val="61CB5160"/>
    <w:rsid w:val="61D5758E"/>
    <w:rsid w:val="61FB69A8"/>
    <w:rsid w:val="621F1B17"/>
    <w:rsid w:val="622D3289"/>
    <w:rsid w:val="6266219C"/>
    <w:rsid w:val="62750475"/>
    <w:rsid w:val="627546ED"/>
    <w:rsid w:val="629F008B"/>
    <w:rsid w:val="62C26F2D"/>
    <w:rsid w:val="62E04931"/>
    <w:rsid w:val="63233B50"/>
    <w:rsid w:val="63301CF5"/>
    <w:rsid w:val="635B4DD7"/>
    <w:rsid w:val="63665830"/>
    <w:rsid w:val="63DE1AE7"/>
    <w:rsid w:val="64284052"/>
    <w:rsid w:val="6429099E"/>
    <w:rsid w:val="644F1948"/>
    <w:rsid w:val="647555F7"/>
    <w:rsid w:val="647B3309"/>
    <w:rsid w:val="64B35BE6"/>
    <w:rsid w:val="64BC5621"/>
    <w:rsid w:val="64C00EAA"/>
    <w:rsid w:val="64C9512D"/>
    <w:rsid w:val="653D4716"/>
    <w:rsid w:val="654A79CF"/>
    <w:rsid w:val="6552427C"/>
    <w:rsid w:val="655E5AFC"/>
    <w:rsid w:val="65B940C9"/>
    <w:rsid w:val="66353CC9"/>
    <w:rsid w:val="665D462A"/>
    <w:rsid w:val="6692705B"/>
    <w:rsid w:val="66A85805"/>
    <w:rsid w:val="66FC729A"/>
    <w:rsid w:val="671342EB"/>
    <w:rsid w:val="672133A0"/>
    <w:rsid w:val="67D8638F"/>
    <w:rsid w:val="67EF07E6"/>
    <w:rsid w:val="6803353F"/>
    <w:rsid w:val="685607DF"/>
    <w:rsid w:val="685E563F"/>
    <w:rsid w:val="6898128A"/>
    <w:rsid w:val="68B60B5B"/>
    <w:rsid w:val="68D1417E"/>
    <w:rsid w:val="690C6FAA"/>
    <w:rsid w:val="690E1FC4"/>
    <w:rsid w:val="692E3A9D"/>
    <w:rsid w:val="697056F5"/>
    <w:rsid w:val="69CC5C96"/>
    <w:rsid w:val="69E33953"/>
    <w:rsid w:val="6A53231B"/>
    <w:rsid w:val="6A61513B"/>
    <w:rsid w:val="6AC62FBB"/>
    <w:rsid w:val="6B252027"/>
    <w:rsid w:val="6B8055ED"/>
    <w:rsid w:val="6B806DEE"/>
    <w:rsid w:val="6BBF6767"/>
    <w:rsid w:val="6BD519A9"/>
    <w:rsid w:val="6BEF7F82"/>
    <w:rsid w:val="6BFE5571"/>
    <w:rsid w:val="6C2D3F35"/>
    <w:rsid w:val="6C420E9C"/>
    <w:rsid w:val="6C4C6E1C"/>
    <w:rsid w:val="6C6A3F4B"/>
    <w:rsid w:val="6C872F15"/>
    <w:rsid w:val="6CA40DC2"/>
    <w:rsid w:val="6CBB39A4"/>
    <w:rsid w:val="6CBF4F2D"/>
    <w:rsid w:val="6CD05DCC"/>
    <w:rsid w:val="6D0205BA"/>
    <w:rsid w:val="6D5B6453"/>
    <w:rsid w:val="6D845474"/>
    <w:rsid w:val="6DBE774E"/>
    <w:rsid w:val="6DE61751"/>
    <w:rsid w:val="6DE96CB8"/>
    <w:rsid w:val="6DF167E1"/>
    <w:rsid w:val="6E193BD8"/>
    <w:rsid w:val="6E273E46"/>
    <w:rsid w:val="6E62103A"/>
    <w:rsid w:val="6E714B1B"/>
    <w:rsid w:val="6EC448E0"/>
    <w:rsid w:val="6F5C60D4"/>
    <w:rsid w:val="6F627207"/>
    <w:rsid w:val="6F8A62CB"/>
    <w:rsid w:val="6F8C3A16"/>
    <w:rsid w:val="6FD2187C"/>
    <w:rsid w:val="70005BAF"/>
    <w:rsid w:val="70081862"/>
    <w:rsid w:val="702E7099"/>
    <w:rsid w:val="703029D2"/>
    <w:rsid w:val="706C0B9A"/>
    <w:rsid w:val="70734B34"/>
    <w:rsid w:val="707F24A7"/>
    <w:rsid w:val="70961BE3"/>
    <w:rsid w:val="709A3A0D"/>
    <w:rsid w:val="709A3D9E"/>
    <w:rsid w:val="70AD066A"/>
    <w:rsid w:val="70C473C9"/>
    <w:rsid w:val="70D078E2"/>
    <w:rsid w:val="71044D9D"/>
    <w:rsid w:val="71055CE7"/>
    <w:rsid w:val="71226BED"/>
    <w:rsid w:val="715A3DCB"/>
    <w:rsid w:val="71685132"/>
    <w:rsid w:val="71852CD8"/>
    <w:rsid w:val="71A14423"/>
    <w:rsid w:val="71E028A3"/>
    <w:rsid w:val="72017BB8"/>
    <w:rsid w:val="7204421B"/>
    <w:rsid w:val="720D6687"/>
    <w:rsid w:val="72530714"/>
    <w:rsid w:val="72546013"/>
    <w:rsid w:val="727F38FA"/>
    <w:rsid w:val="72993A93"/>
    <w:rsid w:val="72BD2D0C"/>
    <w:rsid w:val="72CD4069"/>
    <w:rsid w:val="7348765D"/>
    <w:rsid w:val="73642249"/>
    <w:rsid w:val="737F7858"/>
    <w:rsid w:val="73B02321"/>
    <w:rsid w:val="73E65158"/>
    <w:rsid w:val="74045844"/>
    <w:rsid w:val="742749F8"/>
    <w:rsid w:val="74A2511E"/>
    <w:rsid w:val="750A3A77"/>
    <w:rsid w:val="751F4274"/>
    <w:rsid w:val="753648A5"/>
    <w:rsid w:val="757165DA"/>
    <w:rsid w:val="75CA5D3F"/>
    <w:rsid w:val="761C62F6"/>
    <w:rsid w:val="76273A62"/>
    <w:rsid w:val="763A1EE2"/>
    <w:rsid w:val="765C411D"/>
    <w:rsid w:val="766559B4"/>
    <w:rsid w:val="766E5645"/>
    <w:rsid w:val="7673220A"/>
    <w:rsid w:val="76AD08F4"/>
    <w:rsid w:val="76DC3792"/>
    <w:rsid w:val="76F61CB7"/>
    <w:rsid w:val="77056E1C"/>
    <w:rsid w:val="77094A2E"/>
    <w:rsid w:val="770B7945"/>
    <w:rsid w:val="770C1A51"/>
    <w:rsid w:val="771760BD"/>
    <w:rsid w:val="77583A51"/>
    <w:rsid w:val="776B58C1"/>
    <w:rsid w:val="77A94A1A"/>
    <w:rsid w:val="77AA0845"/>
    <w:rsid w:val="77D97C19"/>
    <w:rsid w:val="77ED64F0"/>
    <w:rsid w:val="78077A4A"/>
    <w:rsid w:val="782E5A06"/>
    <w:rsid w:val="782E7E31"/>
    <w:rsid w:val="78383184"/>
    <w:rsid w:val="784A3DF0"/>
    <w:rsid w:val="78795CD6"/>
    <w:rsid w:val="78B45837"/>
    <w:rsid w:val="790D5F92"/>
    <w:rsid w:val="79340D5C"/>
    <w:rsid w:val="794357FD"/>
    <w:rsid w:val="798067B7"/>
    <w:rsid w:val="798950D1"/>
    <w:rsid w:val="798B1458"/>
    <w:rsid w:val="799856B5"/>
    <w:rsid w:val="79B940F5"/>
    <w:rsid w:val="79DB23C9"/>
    <w:rsid w:val="79DE303E"/>
    <w:rsid w:val="7A247909"/>
    <w:rsid w:val="7A3C718F"/>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9E730A"/>
    <w:rsid w:val="7CBB5A36"/>
    <w:rsid w:val="7CBE05D6"/>
    <w:rsid w:val="7D0278A8"/>
    <w:rsid w:val="7D107B6E"/>
    <w:rsid w:val="7D596D6C"/>
    <w:rsid w:val="7D787E00"/>
    <w:rsid w:val="7D9D6CD8"/>
    <w:rsid w:val="7D9F1826"/>
    <w:rsid w:val="7DAF234C"/>
    <w:rsid w:val="7DCA65AC"/>
    <w:rsid w:val="7DE329CE"/>
    <w:rsid w:val="7E394092"/>
    <w:rsid w:val="7E3A03D7"/>
    <w:rsid w:val="7E3A13EE"/>
    <w:rsid w:val="7E453A68"/>
    <w:rsid w:val="7E525DE7"/>
    <w:rsid w:val="7E680042"/>
    <w:rsid w:val="7E8A1612"/>
    <w:rsid w:val="7EBB3930"/>
    <w:rsid w:val="7EE94CBB"/>
    <w:rsid w:val="7F062761"/>
    <w:rsid w:val="7F37016E"/>
    <w:rsid w:val="7F686EE0"/>
    <w:rsid w:val="7F6F4D1A"/>
    <w:rsid w:val="7F87641A"/>
    <w:rsid w:val="7FAD7090"/>
    <w:rsid w:val="7FFE72EF"/>
    <w:rsid w:val="BEFFC756"/>
    <w:rsid w:val="EDBEBCD0"/>
    <w:rsid w:val="F7FD72C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qFormat="1" w:unhideWhenUsed="0" w:uiPriority="0" w:semiHidden="0"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2"/>
    <w:basedOn w:val="1"/>
    <w:next w:val="1"/>
    <w:autoRedefine/>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5">
    <w:name w:val="heading 3"/>
    <w:basedOn w:val="1"/>
    <w:next w:val="1"/>
    <w:autoRedefine/>
    <w:qFormat/>
    <w:uiPriority w:val="99"/>
    <w:pPr>
      <w:keepNext/>
      <w:keepLines/>
      <w:spacing w:line="360" w:lineRule="auto"/>
      <w:outlineLvl w:val="2"/>
    </w:pPr>
    <w:rPr>
      <w:rFonts w:eastAsia="黑体"/>
      <w:b/>
      <w:bCs/>
      <w:sz w:val="32"/>
      <w:szCs w:val="32"/>
      <w:lang w:val="zh-CN"/>
    </w:rPr>
  </w:style>
  <w:style w:type="paragraph" w:styleId="6">
    <w:name w:val="heading 4"/>
    <w:basedOn w:val="1"/>
    <w:next w:val="1"/>
    <w:autoRedefine/>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99"/>
    <w:pPr>
      <w:spacing w:before="25" w:after="25"/>
      <w:ind w:firstLine="315" w:firstLineChars="150"/>
    </w:pPr>
    <w:rPr>
      <w:bCs/>
      <w:color w:val="000000"/>
    </w:rPr>
  </w:style>
  <w:style w:type="paragraph" w:styleId="7">
    <w:name w:val="Normal Indent"/>
    <w:basedOn w:val="1"/>
    <w:autoRedefine/>
    <w:qFormat/>
    <w:uiPriority w:val="0"/>
    <w:pPr>
      <w:ind w:firstLine="420"/>
    </w:pPr>
    <w:rPr>
      <w:szCs w:val="20"/>
    </w:rPr>
  </w:style>
  <w:style w:type="paragraph" w:styleId="8">
    <w:name w:val="annotation text"/>
    <w:basedOn w:val="1"/>
    <w:autoRedefine/>
    <w:qFormat/>
    <w:uiPriority w:val="0"/>
    <w:pPr>
      <w:jc w:val="left"/>
    </w:pPr>
  </w:style>
  <w:style w:type="paragraph" w:styleId="9">
    <w:name w:val="Body Text 3"/>
    <w:autoRedefine/>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0">
    <w:name w:val="Body Text"/>
    <w:basedOn w:val="1"/>
    <w:next w:val="1"/>
    <w:autoRedefine/>
    <w:qFormat/>
    <w:uiPriority w:val="0"/>
    <w:rPr>
      <w:sz w:val="21"/>
      <w:szCs w:val="22"/>
    </w:rPr>
  </w:style>
  <w:style w:type="paragraph" w:styleId="11">
    <w:name w:val="Body Text Indent"/>
    <w:basedOn w:val="1"/>
    <w:autoRedefine/>
    <w:qFormat/>
    <w:uiPriority w:val="0"/>
    <w:pPr>
      <w:ind w:firstLine="830" w:firstLineChars="352"/>
    </w:pPr>
    <w:rPr>
      <w:rFonts w:ascii="仿宋_GB2312" w:eastAsia="仿宋_GB2312"/>
      <w:kern w:val="0"/>
      <w:sz w:val="32"/>
      <w:szCs w:val="20"/>
    </w:rPr>
  </w:style>
  <w:style w:type="paragraph" w:styleId="12">
    <w:name w:val="Block Text"/>
    <w:basedOn w:val="1"/>
    <w:autoRedefine/>
    <w:qFormat/>
    <w:uiPriority w:val="0"/>
    <w:pPr>
      <w:ind w:left="1440" w:leftChars="700" w:right="700" w:rightChars="700"/>
    </w:pPr>
  </w:style>
  <w:style w:type="paragraph" w:styleId="13">
    <w:name w:val="Plain Text"/>
    <w:basedOn w:val="1"/>
    <w:next w:val="6"/>
    <w:autoRedefine/>
    <w:qFormat/>
    <w:uiPriority w:val="0"/>
    <w:rPr>
      <w:rFonts w:ascii="宋体" w:eastAsia="宋体" w:cs="Courier New"/>
      <w:szCs w:val="21"/>
    </w:rPr>
  </w:style>
  <w:style w:type="paragraph" w:styleId="14">
    <w:name w:val="Date"/>
    <w:basedOn w:val="1"/>
    <w:next w:val="1"/>
    <w:autoRedefine/>
    <w:qFormat/>
    <w:uiPriority w:val="0"/>
    <w:pPr>
      <w:ind w:left="100" w:leftChars="2500"/>
    </w:pPr>
  </w:style>
  <w:style w:type="paragraph" w:styleId="15">
    <w:name w:val="footer"/>
    <w:basedOn w:val="1"/>
    <w:link w:val="30"/>
    <w:autoRedefine/>
    <w:unhideWhenUsed/>
    <w:qFormat/>
    <w:uiPriority w:val="99"/>
    <w:pPr>
      <w:tabs>
        <w:tab w:val="center" w:pos="4153"/>
        <w:tab w:val="right" w:pos="8306"/>
      </w:tabs>
      <w:snapToGrid w:val="0"/>
      <w:jc w:val="left"/>
    </w:pPr>
    <w:rPr>
      <w:sz w:val="18"/>
      <w:szCs w:val="18"/>
    </w:rPr>
  </w:style>
  <w:style w:type="paragraph" w:styleId="16">
    <w:name w:val="header"/>
    <w:basedOn w:val="1"/>
    <w:next w:val="12"/>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next w:val="1"/>
    <w:autoRedefine/>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8">
    <w:name w:val="toc 6"/>
    <w:basedOn w:val="1"/>
    <w:next w:val="1"/>
    <w:autoRedefine/>
    <w:qFormat/>
    <w:uiPriority w:val="0"/>
    <w:pPr>
      <w:ind w:left="1000" w:leftChars="1000"/>
    </w:pPr>
  </w:style>
  <w:style w:type="paragraph" w:styleId="19">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2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1">
    <w:name w:val="Body Text First Indent"/>
    <w:basedOn w:val="10"/>
    <w:autoRedefine/>
    <w:qFormat/>
    <w:uiPriority w:val="0"/>
    <w:pPr>
      <w:ind w:firstLine="420" w:firstLineChars="100"/>
    </w:pPr>
  </w:style>
  <w:style w:type="paragraph" w:styleId="22">
    <w:name w:val="Body Text First Indent 2"/>
    <w:basedOn w:val="11"/>
    <w:autoRedefine/>
    <w:qFormat/>
    <w:uiPriority w:val="0"/>
    <w:pPr>
      <w:ind w:left="420" w:firstLine="420" w:firstLineChars="200"/>
    </w:pPr>
  </w:style>
  <w:style w:type="table" w:styleId="24">
    <w:name w:val="Table Grid"/>
    <w:basedOn w:val="23"/>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autoRedefine/>
    <w:semiHidden/>
    <w:unhideWhenUsed/>
    <w:qFormat/>
    <w:uiPriority w:val="99"/>
    <w:rPr>
      <w:color w:val="800080"/>
      <w:u w:val="single"/>
    </w:rPr>
  </w:style>
  <w:style w:type="character" w:styleId="27">
    <w:name w:val="Hyperlink"/>
    <w:basedOn w:val="25"/>
    <w:semiHidden/>
    <w:unhideWhenUsed/>
    <w:qFormat/>
    <w:uiPriority w:val="99"/>
    <w:rPr>
      <w:color w:val="0000FF"/>
      <w:u w:val="single"/>
    </w:rPr>
  </w:style>
  <w:style w:type="paragraph" w:customStyle="1" w:styleId="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5"/>
    <w:link w:val="16"/>
    <w:autoRedefine/>
    <w:qFormat/>
    <w:uiPriority w:val="99"/>
    <w:rPr>
      <w:sz w:val="18"/>
      <w:szCs w:val="18"/>
    </w:rPr>
  </w:style>
  <w:style w:type="character" w:customStyle="1" w:styleId="30">
    <w:name w:val="页脚 字符"/>
    <w:basedOn w:val="25"/>
    <w:link w:val="15"/>
    <w:autoRedefine/>
    <w:qFormat/>
    <w:uiPriority w:val="99"/>
    <w:rPr>
      <w:sz w:val="18"/>
      <w:szCs w:val="18"/>
    </w:rPr>
  </w:style>
  <w:style w:type="paragraph" w:styleId="31">
    <w:name w:val="List Paragraph"/>
    <w:basedOn w:val="1"/>
    <w:autoRedefine/>
    <w:qFormat/>
    <w:uiPriority w:val="34"/>
    <w:pPr>
      <w:ind w:firstLine="420" w:firstLineChars="200"/>
    </w:pPr>
    <w:rPr>
      <w:rFonts w:ascii="Calibri" w:hAnsi="Calibri" w:eastAsia="宋体" w:cs="Times New Roman"/>
    </w:rPr>
  </w:style>
  <w:style w:type="paragraph" w:customStyle="1" w:styleId="32">
    <w:name w:val="p16"/>
    <w:autoRedefine/>
    <w:qFormat/>
    <w:uiPriority w:val="0"/>
    <w:pPr>
      <w:jc w:val="both"/>
    </w:pPr>
    <w:rPr>
      <w:rFonts w:ascii="宋体" w:hAnsi="宋体" w:eastAsia="宋体" w:cs="宋体"/>
      <w:color w:val="000000"/>
      <w:lang w:val="en-US" w:eastAsia="zh-CN" w:bidi="ar-SA"/>
    </w:rPr>
  </w:style>
  <w:style w:type="paragraph" w:customStyle="1" w:styleId="33">
    <w:name w:val="Table Paragraph"/>
    <w:basedOn w:val="1"/>
    <w:autoRedefine/>
    <w:qFormat/>
    <w:uiPriority w:val="1"/>
  </w:style>
  <w:style w:type="paragraph" w:customStyle="1" w:styleId="34">
    <w:name w:val="正文_0"/>
    <w:autoRedefine/>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autoRedefine/>
    <w:qFormat/>
    <w:uiPriority w:val="0"/>
    <w:rPr>
      <w:bCs/>
      <w:spacing w:val="10"/>
      <w:kern w:val="0"/>
      <w:sz w:val="24"/>
    </w:rPr>
  </w:style>
  <w:style w:type="paragraph" w:customStyle="1" w:styleId="36">
    <w:name w:val="p0"/>
    <w:basedOn w:val="1"/>
    <w:autoRedefine/>
    <w:qFormat/>
    <w:uiPriority w:val="0"/>
    <w:pPr>
      <w:widowControl/>
    </w:pPr>
    <w:rPr>
      <w:kern w:val="0"/>
      <w:szCs w:val="21"/>
    </w:rPr>
  </w:style>
  <w:style w:type="character" w:customStyle="1" w:styleId="37">
    <w:name w:val="apple-converted-space"/>
    <w:basedOn w:val="25"/>
    <w:autoRedefine/>
    <w:qFormat/>
    <w:uiPriority w:val="0"/>
  </w:style>
  <w:style w:type="paragraph" w:customStyle="1" w:styleId="38">
    <w:name w:val="默认段落字体 Para Char Char Char Char Char Char Char"/>
    <w:basedOn w:val="1"/>
    <w:autoRedefine/>
    <w:qFormat/>
    <w:uiPriority w:val="0"/>
    <w:pPr>
      <w:adjustRightInd w:val="0"/>
      <w:spacing w:line="360" w:lineRule="auto"/>
    </w:pPr>
  </w:style>
  <w:style w:type="paragraph" w:customStyle="1" w:styleId="39">
    <w:name w:val="首行缩进"/>
    <w:basedOn w:val="1"/>
    <w:autoRedefine/>
    <w:qFormat/>
    <w:uiPriority w:val="0"/>
    <w:pPr>
      <w:ind w:firstLine="480" w:firstLineChars="200"/>
    </w:pPr>
    <w:rPr>
      <w:szCs w:val="20"/>
    </w:rPr>
  </w:style>
  <w:style w:type="paragraph" w:styleId="40">
    <w:name w:val="No Spacing"/>
    <w:autoRedefine/>
    <w:qFormat/>
    <w:uiPriority w:val="1"/>
    <w:pPr>
      <w:jc w:val="both"/>
    </w:pPr>
    <w:rPr>
      <w:rFonts w:ascii="Times New Roman" w:hAnsi="Times New Roman" w:eastAsia="宋体" w:cs="Times New Roman"/>
      <w:kern w:val="2"/>
      <w:sz w:val="21"/>
      <w:szCs w:val="20"/>
      <w:lang w:val="en-US" w:eastAsia="zh-CN" w:bidi="ar-SA"/>
    </w:rPr>
  </w:style>
  <w:style w:type="paragraph" w:customStyle="1" w:styleId="41">
    <w:name w:val="采购一"/>
    <w:basedOn w:val="1"/>
    <w:autoRedefine/>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2">
    <w:name w:val="采购二"/>
    <w:basedOn w:val="41"/>
    <w:autoRedefine/>
    <w:qFormat/>
    <w:uiPriority w:val="0"/>
    <w:pPr>
      <w:spacing w:before="50" w:beforeLines="50" w:after="0" w:afterLines="0"/>
    </w:pPr>
    <w:rPr>
      <w:rFonts w:ascii="宋体" w:hAnsi="宋体" w:eastAsia="宋体"/>
      <w:sz w:val="28"/>
      <w:szCs w:val="28"/>
    </w:rPr>
  </w:style>
  <w:style w:type="paragraph" w:customStyle="1" w:styleId="43">
    <w:name w:val="采购三"/>
    <w:basedOn w:val="42"/>
    <w:autoRedefine/>
    <w:qFormat/>
    <w:uiPriority w:val="0"/>
    <w:pPr>
      <w:spacing w:before="50" w:beforeLines="50" w:after="50" w:afterLines="50" w:line="240" w:lineRule="auto"/>
      <w:jc w:val="left"/>
    </w:pPr>
    <w:rPr>
      <w:sz w:val="24"/>
      <w:lang w:bidi="zh-CN"/>
    </w:rPr>
  </w:style>
  <w:style w:type="character" w:customStyle="1" w:styleId="44">
    <w:name w:val="font51"/>
    <w:basedOn w:val="25"/>
    <w:autoRedefine/>
    <w:qFormat/>
    <w:uiPriority w:val="0"/>
    <w:rPr>
      <w:rFonts w:hint="eastAsia" w:ascii="宋体" w:hAnsi="宋体" w:eastAsia="宋体" w:cs="宋体"/>
      <w:color w:val="000000"/>
      <w:sz w:val="32"/>
      <w:szCs w:val="32"/>
      <w:u w:val="none"/>
    </w:rPr>
  </w:style>
  <w:style w:type="character" w:customStyle="1" w:styleId="45">
    <w:name w:val="font31"/>
    <w:basedOn w:val="25"/>
    <w:autoRedefine/>
    <w:qFormat/>
    <w:uiPriority w:val="0"/>
    <w:rPr>
      <w:rFonts w:ascii="宋体" w:hAnsi="宋体" w:eastAsia="宋体" w:cs="宋体"/>
      <w:color w:val="000000"/>
      <w:sz w:val="32"/>
      <w:szCs w:val="32"/>
      <w:u w:val="single"/>
    </w:rPr>
  </w:style>
  <w:style w:type="character" w:customStyle="1" w:styleId="46">
    <w:name w:val="font21"/>
    <w:basedOn w:val="25"/>
    <w:autoRedefine/>
    <w:qFormat/>
    <w:uiPriority w:val="0"/>
    <w:rPr>
      <w:rFonts w:ascii="宋体" w:hAnsi="宋体" w:eastAsia="宋体" w:cs="宋体"/>
      <w:color w:val="000000"/>
      <w:sz w:val="32"/>
      <w:szCs w:val="32"/>
      <w:u w:val="none"/>
    </w:rPr>
  </w:style>
  <w:style w:type="character" w:customStyle="1" w:styleId="47">
    <w:name w:val="font11"/>
    <w:basedOn w:val="25"/>
    <w:autoRedefine/>
    <w:qFormat/>
    <w:uiPriority w:val="0"/>
    <w:rPr>
      <w:rFonts w:ascii="Calibri" w:hAnsi="Calibri" w:cs="Calibri"/>
      <w:color w:val="000000"/>
      <w:sz w:val="32"/>
      <w:szCs w:val="32"/>
      <w:u w:val="none"/>
    </w:rPr>
  </w:style>
  <w:style w:type="character" w:customStyle="1" w:styleId="48">
    <w:name w:val="font01"/>
    <w:basedOn w:val="25"/>
    <w:autoRedefine/>
    <w:qFormat/>
    <w:uiPriority w:val="0"/>
    <w:rPr>
      <w:rFonts w:hint="eastAsia" w:ascii="宋体" w:hAnsi="宋体" w:eastAsia="宋体" w:cs="宋体"/>
      <w:color w:val="000000"/>
      <w:sz w:val="20"/>
      <w:szCs w:val="20"/>
      <w:u w:val="none"/>
    </w:rPr>
  </w:style>
  <w:style w:type="paragraph" w:customStyle="1" w:styleId="49">
    <w:name w:val="正文_4"/>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26</Pages>
  <Words>9416</Words>
  <Characters>9902</Characters>
  <Lines>54</Lines>
  <Paragraphs>15</Paragraphs>
  <TotalTime>1</TotalTime>
  <ScaleCrop>false</ScaleCrop>
  <LinksUpToDate>false</LinksUpToDate>
  <CharactersWithSpaces>11076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2020-03-11T05:45:00Z</dcterms:created>
  <dc:creator>Zeng Bin Fan</dc:creator>
  <cp:lastModifiedBy>10.4</cp:lastModifiedBy>
  <dcterms:modified xsi:type="dcterms:W3CDTF">2024-01-10T09:10:25Z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E9458F2410374272A83C797DDDEFC12F_13</vt:lpwstr>
  </property>
</Properties>
</file>