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pPr>
        <w:pStyle w:val="5"/>
        <w:rPr>
          <w:rFonts w:hint="eastAsia" w:ascii="宋体" w:hAnsi="宋体" w:eastAsia="宋体" w:cs="宋体"/>
          <w:color w:val="auto"/>
          <w:highlight w:val="none"/>
          <w:lang w:val="en-US" w:eastAsia="zh-CN"/>
        </w:rPr>
      </w:pPr>
    </w:p>
    <w:p>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竞争性磋商文件</w:t>
      </w:r>
    </w:p>
    <w:p>
      <w:pPr>
        <w:rPr>
          <w:rFonts w:hint="eastAsia" w:ascii="宋体" w:hAnsi="宋体" w:eastAsia="宋体" w:cs="宋体"/>
          <w:b/>
          <w:bCs/>
          <w:color w:val="auto"/>
          <w:sz w:val="36"/>
          <w:szCs w:val="36"/>
          <w:highlight w:val="none"/>
          <w:lang w:val="en-US" w:eastAsia="zh-CN"/>
        </w:rPr>
      </w:pPr>
    </w:p>
    <w:p>
      <w:pPr>
        <w:pStyle w:val="5"/>
        <w:rPr>
          <w:rFonts w:hint="eastAsia" w:ascii="宋体" w:hAnsi="宋体" w:eastAsia="宋体" w:cs="宋体"/>
          <w:b/>
          <w:bCs/>
          <w:color w:val="auto"/>
          <w:sz w:val="36"/>
          <w:szCs w:val="36"/>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b/>
          <w:bCs/>
          <w:color w:val="auto"/>
          <w:sz w:val="36"/>
          <w:szCs w:val="36"/>
          <w:highlight w:val="none"/>
          <w:lang w:val="en-US" w:eastAsia="zh-CN"/>
        </w:rPr>
      </w:pPr>
    </w:p>
    <w:p>
      <w:pPr>
        <w:rPr>
          <w:rFonts w:hint="eastAsia" w:ascii="宋体" w:hAnsi="宋体" w:eastAsia="宋体" w:cs="宋体"/>
          <w:b/>
          <w:bCs/>
          <w:color w:val="auto"/>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hanging="1807" w:hangingChars="500"/>
        <w:jc w:val="both"/>
        <w:textAlignment w:val="auto"/>
        <w:rPr>
          <w:rFonts w:hint="eastAsia" w:ascii="宋体" w:hAnsi="宋体" w:eastAsia="宋体" w:cs="宋体"/>
          <w:b/>
          <w:bCs/>
          <w:color w:val="auto"/>
          <w:kern w:val="2"/>
          <w:sz w:val="36"/>
          <w:szCs w:val="36"/>
          <w:highlight w:val="none"/>
          <w:u w:val="single"/>
          <w:lang w:val="en-US" w:eastAsia="zh-CN" w:bidi="ar"/>
        </w:rPr>
      </w:pPr>
      <w:r>
        <w:rPr>
          <w:rFonts w:hint="eastAsia" w:ascii="宋体" w:hAnsi="宋体" w:eastAsia="宋体" w:cs="宋体"/>
          <w:b/>
          <w:bCs/>
          <w:color w:val="auto"/>
          <w:sz w:val="36"/>
          <w:szCs w:val="36"/>
          <w:highlight w:val="none"/>
          <w:lang w:val="en-US" w:eastAsia="zh-CN"/>
        </w:rPr>
        <w:t>项目名称：</w:t>
      </w:r>
      <w:r>
        <w:rPr>
          <w:rFonts w:hint="eastAsia" w:ascii="宋体" w:hAnsi="宋体" w:eastAsia="宋体" w:cs="宋体"/>
          <w:b/>
          <w:bCs/>
          <w:color w:val="auto"/>
          <w:kern w:val="2"/>
          <w:sz w:val="36"/>
          <w:szCs w:val="36"/>
          <w:lang w:val="en-US" w:eastAsia="zh-CN" w:bidi="ar"/>
        </w:rPr>
        <w:t>恒通钧达散杂货码头海事、边检视频监控系统安装项目</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采 购 人：</w:t>
      </w:r>
      <w:r>
        <w:rPr>
          <w:rFonts w:hint="eastAsia" w:ascii="宋体" w:hAnsi="宋体" w:eastAsia="宋体" w:cs="宋体"/>
          <w:b/>
          <w:bCs/>
          <w:kern w:val="2"/>
          <w:sz w:val="36"/>
          <w:szCs w:val="36"/>
          <w:u w:val="single"/>
          <w:lang w:val="en-US" w:eastAsia="zh-CN" w:bidi="ar"/>
        </w:rPr>
        <w:t>广西钦州恒通货柜码头仓储有限公司</w:t>
      </w:r>
    </w:p>
    <w:p>
      <w:pPr>
        <w:rPr>
          <w:rFonts w:hint="eastAsia" w:ascii="宋体" w:hAnsi="宋体" w:eastAsia="宋体" w:cs="宋体"/>
          <w:b/>
          <w:bCs/>
          <w:color w:val="auto"/>
          <w:sz w:val="36"/>
          <w:szCs w:val="36"/>
          <w:highlight w:val="none"/>
          <w:lang w:val="en-US" w:eastAsia="zh-CN"/>
        </w:rPr>
      </w:pPr>
    </w:p>
    <w:p>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2023年</w:t>
      </w:r>
      <w:r>
        <w:rPr>
          <w:rFonts w:hint="eastAsia" w:ascii="宋体" w:hAnsi="宋体" w:eastAsia="宋体" w:cs="宋体"/>
          <w:b/>
          <w:bCs/>
          <w:color w:val="auto"/>
          <w:sz w:val="36"/>
          <w:szCs w:val="36"/>
          <w:highlight w:val="none"/>
          <w:lang w:eastAsia="zh-CN"/>
        </w:rPr>
        <w:t>1</w:t>
      </w:r>
      <w:r>
        <w:rPr>
          <w:rFonts w:hint="eastAsia" w:ascii="宋体" w:hAnsi="宋体" w:eastAsia="宋体" w:cs="宋体"/>
          <w:b/>
          <w:bCs/>
          <w:color w:val="auto"/>
          <w:sz w:val="36"/>
          <w:szCs w:val="36"/>
          <w:highlight w:val="none"/>
          <w:lang w:val="en-US" w:eastAsia="zh-CN"/>
        </w:rPr>
        <w:t>2月</w:t>
      </w:r>
    </w:p>
    <w:p>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pPr>
        <w:pStyle w:val="41"/>
        <w:rPr>
          <w:rFonts w:hint="eastAsia" w:ascii="宋体" w:hAnsi="宋体" w:eastAsia="宋体" w:cs="宋体"/>
          <w:color w:val="auto"/>
          <w:sz w:val="32"/>
          <w:szCs w:val="32"/>
          <w:highlight w:val="none"/>
          <w:shd w:val="clear"/>
        </w:rPr>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41"/>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ascii="宋体" w:hAnsi="宋体" w:eastAsia="宋体" w:cs="宋体"/>
          <w:color w:val="auto"/>
          <w:sz w:val="32"/>
          <w:szCs w:val="32"/>
          <w:highlight w:val="none"/>
          <w:shd w:val="clear"/>
          <w:lang w:val="en-US" w:eastAsia="zh-CN"/>
        </w:rPr>
        <w:t xml:space="preserve">  </w:t>
      </w:r>
      <w:r>
        <w:rPr>
          <w:rFonts w:hint="eastAsia" w:ascii="宋体" w:hAnsi="宋体" w:eastAsia="宋体" w:cs="宋体"/>
          <w:b/>
          <w:bCs w:val="0"/>
          <w:color w:val="auto"/>
          <w:kern w:val="2"/>
          <w:sz w:val="32"/>
          <w:szCs w:val="32"/>
          <w:highlight w:val="none"/>
          <w:u w:val="none"/>
          <w:lang w:val="en-US" w:eastAsia="zh-CN" w:bidi="ar-SA"/>
        </w:rPr>
        <w:t>竞争性磋商</w:t>
      </w:r>
      <w:r>
        <w:rPr>
          <w:rFonts w:hint="eastAsia" w:ascii="宋体" w:hAnsi="宋体" w:eastAsia="宋体" w:cs="宋体"/>
          <w:color w:val="auto"/>
          <w:sz w:val="32"/>
          <w:szCs w:val="32"/>
          <w:highlight w:val="none"/>
          <w:shd w:val="clear"/>
        </w:rPr>
        <w:t>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恒通钧达散杂货码头海事、边检视频监控系统安装项目合同</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u w:val="single"/>
          <w:lang w:val="en-US" w:eastAsia="zh-CN"/>
        </w:rPr>
        <w:t>潜在供应商应在广西自贸区钦州港片区开发投资集团有限责任公司网站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HYPERLINK "http://www.qbtzjt.com" </w:instrText>
      </w:r>
      <w:r>
        <w:rPr>
          <w:rFonts w:hint="eastAsia" w:ascii="宋体" w:hAnsi="宋体" w:eastAsia="宋体" w:cs="宋体"/>
          <w:b w:val="0"/>
          <w:bCs/>
          <w:color w:val="auto"/>
          <w:sz w:val="24"/>
          <w:szCs w:val="24"/>
          <w:highlight w:val="none"/>
          <w:u w:val="single"/>
          <w:lang w:val="en-US" w:eastAsia="zh-CN"/>
        </w:rPr>
        <w:fldChar w:fldCharType="separate"/>
      </w:r>
      <w:r>
        <w:rPr>
          <w:rStyle w:val="25"/>
          <w:rFonts w:hint="eastAsia" w:ascii="宋体" w:hAnsi="宋体" w:eastAsia="宋体" w:cs="宋体"/>
          <w:b w:val="0"/>
          <w:bCs/>
          <w:color w:val="auto"/>
          <w:sz w:val="24"/>
          <w:szCs w:val="24"/>
          <w:highlight w:val="none"/>
          <w:lang w:val="en-US" w:eastAsia="zh-CN"/>
        </w:rPr>
        <w:t>http://www.qbtzjt.com</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获取（下载）</w:t>
      </w:r>
      <w:r>
        <w:rPr>
          <w:rFonts w:hint="eastAsia" w:ascii="宋体" w:hAnsi="宋体" w:eastAsia="宋体" w:cs="宋体"/>
          <w:b w:val="0"/>
          <w:bCs/>
          <w:color w:val="auto"/>
          <w:sz w:val="24"/>
          <w:szCs w:val="24"/>
          <w:highlight w:val="none"/>
          <w:lang w:val="en-US" w:eastAsia="zh-CN"/>
        </w:rPr>
        <w:t>招标文件，并于截止日期</w:t>
      </w:r>
      <w:r>
        <w:rPr>
          <w:rFonts w:hint="eastAsia" w:ascii="宋体" w:hAnsi="宋体" w:eastAsia="宋体" w:cs="宋体"/>
          <w:b w:val="0"/>
          <w:bCs/>
          <w:color w:val="FF0000"/>
          <w:sz w:val="24"/>
          <w:szCs w:val="24"/>
          <w:highlight w:val="none"/>
          <w:u w:val="single"/>
          <w:lang w:val="en-US" w:eastAsia="zh-CN"/>
        </w:rPr>
        <w:t>2023年12月26日9时30分（北京时间）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color w:val="0000FF"/>
          <w:kern w:val="2"/>
          <w:sz w:val="24"/>
          <w:szCs w:val="24"/>
          <w:u w:val="single"/>
          <w:lang w:val="en-US" w:eastAsia="zh-CN" w:bidi="ar"/>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恒通钧达散杂货码头海事、边检视频监控系统安装项目合同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预算金额：人民币壹拾万元（￥：100000.00元）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最高限价：人民币壹拾万元（￥：100000.00元）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eastAsia="zh-CN"/>
        </w:rPr>
        <w:t>30</w:t>
      </w:r>
      <w:r>
        <w:rPr>
          <w:rFonts w:hint="eastAsia" w:ascii="宋体" w:hAnsi="宋体" w:eastAsia="宋体" w:cs="宋体"/>
          <w:b w:val="0"/>
          <w:bCs/>
          <w:color w:val="auto"/>
          <w:sz w:val="24"/>
          <w:szCs w:val="24"/>
          <w:highlight w:val="none"/>
          <w:u w:val="single"/>
          <w:lang w:val="en-US" w:eastAsia="zh-CN"/>
        </w:rPr>
        <w:t xml:space="preserve">天 </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4.供应商为法人或者其他组织的提供其营业执照等证明文件（如营业执照或者事业单位法人证 书或者执业许可证等）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5.供应商依法缴纳税收的相关材料（2023年9月至 2023年11月内任意一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FF0000"/>
          <w:sz w:val="24"/>
          <w:szCs w:val="24"/>
          <w:highlight w:val="none"/>
          <w:u w:val="single"/>
          <w:lang w:val="en-US" w:eastAsia="zh-CN"/>
        </w:rPr>
        <w:t>2023年12月18日</w:t>
      </w:r>
      <w:r>
        <w:rPr>
          <w:rFonts w:hint="eastAsia" w:ascii="宋体" w:hAnsi="宋体" w:eastAsia="宋体" w:cs="宋体"/>
          <w:b w:val="0"/>
          <w:bCs/>
          <w:color w:val="FF0000"/>
          <w:sz w:val="24"/>
          <w:szCs w:val="24"/>
          <w:highlight w:val="none"/>
          <w:lang w:val="en-US" w:eastAsia="zh-CN"/>
        </w:rPr>
        <w:t>至</w:t>
      </w:r>
      <w:r>
        <w:rPr>
          <w:rFonts w:hint="eastAsia" w:ascii="宋体" w:hAnsi="宋体" w:eastAsia="宋体" w:cs="宋体"/>
          <w:b w:val="0"/>
          <w:bCs/>
          <w:color w:val="FF0000"/>
          <w:sz w:val="24"/>
          <w:szCs w:val="24"/>
          <w:highlight w:val="none"/>
          <w:u w:val="single"/>
          <w:lang w:val="en-US" w:eastAsia="zh-CN"/>
        </w:rPr>
        <w:t>2023年12月25日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HYPERLINK "http://www.qbtzjt.com" </w:instrText>
      </w:r>
      <w:r>
        <w:rPr>
          <w:rFonts w:hint="eastAsia" w:ascii="宋体" w:hAnsi="宋体" w:eastAsia="宋体" w:cs="宋体"/>
          <w:b w:val="0"/>
          <w:bCs/>
          <w:color w:val="auto"/>
          <w:sz w:val="24"/>
          <w:szCs w:val="24"/>
          <w:highlight w:val="none"/>
          <w:u w:val="single"/>
          <w:lang w:val="en-US" w:eastAsia="zh-CN"/>
        </w:rPr>
        <w:fldChar w:fldCharType="separate"/>
      </w:r>
      <w:r>
        <w:rPr>
          <w:rStyle w:val="25"/>
          <w:rFonts w:hint="eastAsia" w:ascii="宋体" w:hAnsi="宋体" w:eastAsia="宋体" w:cs="宋体"/>
          <w:b w:val="0"/>
          <w:bCs/>
          <w:color w:val="auto"/>
          <w:sz w:val="24"/>
          <w:szCs w:val="24"/>
          <w:highlight w:val="none"/>
          <w:lang w:val="en-US" w:eastAsia="zh-CN"/>
        </w:rPr>
        <w:t>http：//www.qbtzjt.com</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w:t>
      </w:r>
      <w:r>
        <w:rPr>
          <w:rFonts w:hint="eastAsia" w:ascii="宋体" w:hAnsi="宋体" w:eastAsia="宋体" w:cs="宋体"/>
          <w:b w:val="0"/>
          <w:bCs/>
          <w:color w:val="FF0000"/>
          <w:sz w:val="24"/>
          <w:szCs w:val="24"/>
          <w:highlight w:val="none"/>
          <w:lang w:val="en-US" w:eastAsia="zh-CN"/>
        </w:rPr>
        <w:t>在</w:t>
      </w:r>
      <w:r>
        <w:rPr>
          <w:rFonts w:hint="eastAsia" w:ascii="宋体" w:hAnsi="宋体" w:eastAsia="宋体" w:cs="宋体"/>
          <w:b w:val="0"/>
          <w:bCs/>
          <w:color w:val="FF0000"/>
          <w:sz w:val="24"/>
          <w:szCs w:val="24"/>
          <w:highlight w:val="none"/>
          <w:u w:val="single"/>
          <w:lang w:val="en-US" w:eastAsia="zh-CN"/>
        </w:rPr>
        <w:t>2023年12月25日17时30</w:t>
      </w:r>
      <w:r>
        <w:rPr>
          <w:rFonts w:hint="eastAsia" w:ascii="宋体" w:hAnsi="宋体" w:eastAsia="宋体" w:cs="宋体"/>
          <w:b w:val="0"/>
          <w:bCs/>
          <w:color w:val="auto"/>
          <w:sz w:val="24"/>
          <w:szCs w:val="24"/>
          <w:highlight w:val="none"/>
          <w:u w:val="single"/>
          <w:lang w:val="en-US" w:eastAsia="zh-CN"/>
        </w:rPr>
        <w:t>分</w:t>
      </w:r>
      <w:r>
        <w:rPr>
          <w:rFonts w:hint="eastAsia" w:ascii="宋体" w:hAnsi="宋体" w:eastAsia="宋体" w:cs="宋体"/>
          <w:b w:val="0"/>
          <w:bCs/>
          <w:color w:val="auto"/>
          <w:sz w:val="24"/>
          <w:szCs w:val="24"/>
          <w:highlight w:val="none"/>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FF0000"/>
          <w:sz w:val="24"/>
          <w:szCs w:val="24"/>
          <w:highlight w:val="none"/>
          <w:u w:val="single"/>
          <w:lang w:val="en-US" w:eastAsia="zh-CN"/>
        </w:rPr>
        <w:t>2023年12月26日</w:t>
      </w:r>
      <w:r>
        <w:rPr>
          <w:rFonts w:hint="eastAsia" w:ascii="宋体" w:hAnsi="宋体" w:eastAsia="宋体" w:cs="宋体"/>
          <w:b w:val="0"/>
          <w:bCs/>
          <w:color w:val="FF0000"/>
          <w:sz w:val="24"/>
          <w:szCs w:val="24"/>
          <w:highlight w:val="none"/>
          <w:u w:val="single"/>
          <w:lang w:eastAsia="zh-CN"/>
        </w:rPr>
        <w:t>9</w:t>
      </w:r>
      <w:r>
        <w:rPr>
          <w:rFonts w:hint="eastAsia" w:ascii="宋体" w:hAnsi="宋体" w:eastAsia="宋体" w:cs="宋体"/>
          <w:b w:val="0"/>
          <w:bCs/>
          <w:color w:val="FF0000"/>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highlight w:val="none"/>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szCs w:val="24"/>
          <w:highlight w:val="none"/>
          <w:lang w:val="en-US" w:eastAsia="zh-CN"/>
        </w:rPr>
        <w:t>注：以邮寄方式提交的</w:t>
      </w:r>
      <w:r>
        <w:rPr>
          <w:rFonts w:hint="eastAsia" w:ascii="宋体" w:hAnsi="宋体" w:eastAsia="宋体" w:cs="宋体"/>
          <w:b w:val="0"/>
          <w:bCs/>
          <w:color w:val="auto"/>
          <w:sz w:val="24"/>
          <w:szCs w:val="24"/>
          <w:highlight w:val="none"/>
          <w:lang w:eastAsia="zh-CN"/>
        </w:rPr>
        <w:t>（建议寄顺丰）</w:t>
      </w:r>
      <w:r>
        <w:rPr>
          <w:rFonts w:hint="eastAsia" w:ascii="宋体" w:hAnsi="宋体" w:eastAsia="宋体" w:cs="宋体"/>
          <w:b w:val="0"/>
          <w:bCs/>
          <w:color w:val="auto"/>
          <w:sz w:val="24"/>
          <w:szCs w:val="24"/>
          <w:highlight w:val="none"/>
          <w:lang w:val="en-US" w:eastAsia="zh-CN"/>
        </w:rPr>
        <w:t>，应在截止时间前送达指定地点并经签收，不按规定密封、逾期送达的按无效竞标处理。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FF0000"/>
          <w:sz w:val="24"/>
          <w:szCs w:val="24"/>
          <w:highlight w:val="none"/>
          <w:u w:val="single"/>
          <w:lang w:val="en-US" w:eastAsia="zh-CN"/>
        </w:rPr>
        <w:t>2023年12月26</w:t>
      </w:r>
      <w:bookmarkStart w:id="26" w:name="_GoBack"/>
      <w:bookmarkEnd w:id="26"/>
      <w:r>
        <w:rPr>
          <w:rFonts w:hint="eastAsia" w:ascii="宋体" w:hAnsi="宋体" w:eastAsia="宋体" w:cs="宋体"/>
          <w:b w:val="0"/>
          <w:bCs/>
          <w:color w:val="FF0000"/>
          <w:sz w:val="24"/>
          <w:szCs w:val="24"/>
          <w:highlight w:val="none"/>
          <w:u w:val="single"/>
          <w:lang w:val="en-US" w:eastAsia="zh-CN"/>
        </w:rPr>
        <w:t>日</w:t>
      </w:r>
      <w:r>
        <w:rPr>
          <w:rFonts w:hint="eastAsia" w:ascii="宋体" w:hAnsi="宋体" w:eastAsia="宋体" w:cs="宋体"/>
          <w:b w:val="0"/>
          <w:bCs/>
          <w:color w:val="FF0000"/>
          <w:sz w:val="24"/>
          <w:szCs w:val="24"/>
          <w:highlight w:val="none"/>
          <w:u w:val="single"/>
          <w:lang w:eastAsia="zh-CN"/>
        </w:rPr>
        <w:t>9</w:t>
      </w:r>
      <w:r>
        <w:rPr>
          <w:rFonts w:hint="eastAsia" w:ascii="宋体" w:hAnsi="宋体" w:eastAsia="宋体" w:cs="宋体"/>
          <w:b w:val="0"/>
          <w:bCs/>
          <w:color w:val="FF0000"/>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广西钦州恒通货柜码头仓储有限公司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lang w:eastAsia="zh-CN"/>
        </w:rPr>
        <w:t>18977701864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w:t>
      </w:r>
    </w:p>
    <w:p>
      <w:pPr>
        <w:jc w:val="left"/>
        <w:rPr>
          <w:rFonts w:hint="eastAsia" w:ascii="宋体" w:hAnsi="宋体" w:eastAsia="宋体" w:cs="宋体"/>
          <w:b/>
          <w:bCs/>
          <w:color w:val="auto"/>
          <w:sz w:val="36"/>
          <w:szCs w:val="36"/>
          <w:highlight w:val="none"/>
          <w:lang w:val="en-US" w:eastAsia="zh-CN"/>
        </w:rPr>
      </w:pPr>
    </w:p>
    <w:p>
      <w:pPr>
        <w:pStyle w:val="4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第二章  </w:t>
      </w:r>
      <w:r>
        <w:rPr>
          <w:rFonts w:hint="eastAsia" w:ascii="宋体" w:hAnsi="宋体" w:eastAsia="宋体" w:cs="宋体"/>
          <w:color w:val="auto"/>
          <w:highlight w:val="none"/>
          <w:lang w:val="en-US"/>
        </w:rPr>
        <w:t>采购</w:t>
      </w:r>
      <w:r>
        <w:rPr>
          <w:rFonts w:hint="eastAsia" w:ascii="宋体" w:hAnsi="宋体" w:eastAsia="宋体" w:cs="宋体"/>
          <w:color w:val="auto"/>
          <w:highlight w:val="none"/>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1、本</w:t>
      </w:r>
      <w:r>
        <w:rPr>
          <w:rFonts w:hint="eastAsia" w:ascii="宋体" w:hAnsi="宋体" w:eastAsia="宋体" w:cs="宋体"/>
          <w:color w:val="auto"/>
          <w:sz w:val="24"/>
          <w:szCs w:val="24"/>
          <w:highlight w:val="none"/>
          <w:lang w:val="en-US" w:bidi="zh-CN"/>
        </w:rPr>
        <w:t>项目采购需求</w:t>
      </w:r>
      <w:r>
        <w:rPr>
          <w:rFonts w:hint="eastAsia" w:ascii="宋体" w:hAnsi="宋体" w:eastAsia="宋体" w:cs="宋体"/>
          <w:color w:val="auto"/>
          <w:sz w:val="24"/>
          <w:szCs w:val="24"/>
          <w:highlight w:val="none"/>
          <w:lang w:bidi="zh-CN"/>
        </w:rPr>
        <w:t>表中所列的品牌、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型号仅起</w:t>
      </w:r>
      <w:r>
        <w:rPr>
          <w:rFonts w:hint="eastAsia" w:ascii="宋体" w:hAnsi="宋体" w:eastAsia="宋体" w:cs="宋体"/>
          <w:b/>
          <w:bCs/>
          <w:color w:val="auto"/>
          <w:sz w:val="24"/>
          <w:szCs w:val="24"/>
          <w:highlight w:val="none"/>
          <w:lang w:bidi="zh-CN"/>
        </w:rPr>
        <w:t>参考作用</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可选用其他品牌、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型号替代，但替代的品牌、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型号在实质性要求和条件上要</w:t>
      </w:r>
      <w:r>
        <w:rPr>
          <w:rFonts w:hint="eastAsia" w:ascii="宋体" w:hAnsi="宋体" w:eastAsia="宋体" w:cs="宋体"/>
          <w:b/>
          <w:bCs/>
          <w:color w:val="auto"/>
          <w:sz w:val="24"/>
          <w:szCs w:val="24"/>
          <w:highlight w:val="none"/>
          <w:lang w:bidi="zh-CN"/>
        </w:rPr>
        <w:t>相当于或优于</w:t>
      </w:r>
      <w:r>
        <w:rPr>
          <w:rFonts w:hint="eastAsia" w:ascii="宋体" w:hAnsi="宋体" w:eastAsia="宋体" w:cs="宋体"/>
          <w:color w:val="auto"/>
          <w:sz w:val="24"/>
          <w:szCs w:val="24"/>
          <w:highlight w:val="none"/>
          <w:lang w:bidi="zh-CN"/>
        </w:rPr>
        <w:t>参考品牌、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1"/>
        <w:tblpPr w:leftFromText="180" w:rightFromText="180" w:vertAnchor="text" w:horzAnchor="page" w:tblpX="1206" w:tblpY="250"/>
        <w:tblOverlap w:val="never"/>
        <w:tblW w:w="9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900"/>
        <w:gridCol w:w="380"/>
        <w:gridCol w:w="772"/>
        <w:gridCol w:w="744"/>
        <w:gridCol w:w="780"/>
        <w:gridCol w:w="5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2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货物名称</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参考品牌、型号规格</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单位</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规格型号或技术参数、要求（服务内容要求）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球型摄像机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海康威视DS-2DC6432IW-A</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台</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支持区域入侵侦测，越界侦测，进入区域侦测和离开区域侦测等智能侦测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采用高效补光阵列，低功耗，红外补光150m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内置加热玻璃，有效除雾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支持超低照度，0.005Lux@F1.5(彩色)，0.001Lux@F1.5(黑白)，0 Lux with IR</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支持32倍光学变倍，16倍数字变倍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支持三码流技术，每路码流可独立配置分辨率及帧率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支持3D数字降噪，支持120dB宽动态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支持定时抓图与事件抓图功能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支持定时任务，一键守望，一键巡航功能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支持海康SDK，开放型网络视频接口，ISAPI，GB/T28181，ISUP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highlight w:val="none"/>
                <w:lang w:bidi="zh-CN"/>
              </w:rPr>
              <w:t>★</w:t>
            </w:r>
            <w:r>
              <w:rPr>
                <w:rFonts w:hint="eastAsia" w:ascii="宋体" w:hAnsi="宋体" w:eastAsia="宋体" w:cs="宋体"/>
                <w:b w:val="0"/>
                <w:bCs w:val="0"/>
                <w:i w:val="0"/>
                <w:iCs w:val="0"/>
                <w:color w:val="auto"/>
                <w:sz w:val="21"/>
                <w:szCs w:val="21"/>
                <w:highlight w:val="none"/>
                <w:u w:val="none"/>
                <w:lang w:val="en-US" w:eastAsia="zh-CN"/>
              </w:rPr>
              <w:t>最大支持256GB microSD卡存储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IP66，抗干扰能力强，适用于严酷的电磁环境，符合GB/T17626.2/3/4/5/6四级标准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枪型摄像机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海康威视DS-2CD2T4978WQF-LS</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台</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采用深度学习硬件及算法，支持越界侦测，区域入侵侦测，进入区域侦测和离开区域侦测，支持联动声音报警;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最高分辨率可达2688 × 1520 @25 fps，在该分辨率下可输出实时图像;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支持背光补偿，强光抑制，3D数字降噪，120 dB宽动态;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支持ROI感兴趣区域增强编码，支持Smart265/264编码，可根据场景情况自适应调整码率分配，有效节省存储成本;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支持萤石平台，海康互联接入;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1个内置麦克风，1个内置扬声器，支持双向语音对讲;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支持最大256 GB MicroSD/MicroSDHC/MicroSDXC卡本地存储;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支持1路报警输入，1路报警输出（报警输出最大支持AC24 V/DC24 V，1 A），1路音频输入，1路音频输出;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支持白光/红外双补光，红外最远可达50 m，白光最远可达30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符合IP66防尘防水设计，可靠性高;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★★支持硬件微引导程序、uboot、OS、应用软件逐级校验功能，非法篡改的uboot、OS、应用软件固件包，不能通过命令行、浏览器、客户端方式进行升级。（公安部检验报告证明）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★★支持固件安全检验功能，摄像机uboot应采用加密存储，通过离线烧写存储器方式写入的uboot执行程序，不能被硬件微引导程序加载执行。（公安部检验报告证明）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★★支持硬件微引导程序OTP写入保护机制，uboot的FLASH存储空间应采用防篡改功能。若非法修改FLASH中的内容，可提示异常报错，uboot无法正常启动。（公安部检验报告证明）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★支持快捷配置功能，可在预览画面页开启/关闭“快捷配置”页面，支持配置场景参数、常用图像参数、OSD配置、音视频参数、智能资源分配参数等，并支持恢复默认操作。（公安部检验报告证明）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★支持像素显示功能，可通过IE浏览器显示监视画面中鼠标所选区域水平及垂直方向的像素数。（公安部检验报告证明）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★可同时对经过设定检测区域内的不低于10 个行人进行人脸检测、跟踪、评分和抓拍。可筛选和抓拍最佳人脸图片存储及上报中心。抓拍图片数量、大小可设，支持上传全景照。（公安部检验报告证明）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★可对出现在监控场景内的两眼瞳距不小于19像素的人脸进行检验，并叠加目标提示框。（公安部检验报告证明）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★当报警产生时，可触发联动声音报警。报警声音类型不低于 12 种，报警音量和重复次数可设置。（公安部检验报告证明）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传感器类型：1/3"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最低照度：彩色：0.005 Lux @（F1.2，AGC ON），0 Lux with 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宽动态：120 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焦距&amp;视场角：4 mm，水平视场角：78.3°，垂直视场角：42.9°，对角视场角：91.2°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mm，水平视场角：49.1°，垂直视场角：26.3°，对角视场角：57.2°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mm，水平视场角：37.5°，垂直视场角：20.7°，对角视场角：43.3°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 mm，水平视场角：23.4°，垂直视场角：13.3°，对角视场角：26.8°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补光灯类型：智能补光，可切换白光灯、红外灯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补光距离：红外光最远可达50 m，白光最远可达30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防补光过曝：支持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最大图像尺寸：2688 × 1520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视频压缩标准：主码流：H.265/H.264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子码流：H.265/H.264/MJPEG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第三码流：H.265/H.264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网络：1个RJ45 10 M/100 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SD卡扩展：内置MicroSD/MicroSDHC/MicroSDXC 插槽，最大支持256 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音频：1路输入（Line in）：2芯端子，最大输入幅值：3.3 Vpp，输入阻抗：2.2 kΩ，接口类型：非平衡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1路输出（Line out）：2芯端子，最大输出幅值：3.3 Vpp，输出阻抗：100 Ω，接口类型：非平衡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1个内置麦克风，1个内置扬声器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报警：1路输入，1路输出（报警输出最大支持AC24 V/DC24 V，1 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复位：支持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产品尺寸：186.6 × 92.7 × 87.6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包装尺寸：235 × 120 × 125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设备重量：610 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带包装重量：810 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启动及工作温湿度：-30 ℃~60 ℃，湿度小于95%（无凝结）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恢复出厂设置：支持RESET按键，支持客户端或浏览器恢复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电流及功耗：DC：12 V，0.84 A，最大功耗：10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供电方式：DC：12 V ± 25%，支持防反接保护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电源接口类型：Ø5.5 mm圆口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防护：IP66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录像机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海康威视DS-8832N-R16/4K</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台</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【硬件规格】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3U标准机架式16盘位网络硬盘录像机，高性能ATX电源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2个HDMI接口，2个VGA接口，异源输出，最大支持8K输出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2个10M/100M/1000Mbps网口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2个USB2.0接口，2个USB3.0接口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1个eSATA接口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报警IO接口：16路报警输入，9路报警输出（其中第9路支持CTRL 12V）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反向供电接口：1路（DC12V 1A）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串行接口：1路全双工485接口，1路标准RS-232接口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【产品性能】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输入带宽：256Mbps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输出带宽：256Mbps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接入能力：16路H.264、H.265格式高清码流接入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解码能力：最大支持32×1080P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RAID模式：RAID0、RAID1、RAID5、RAID6、RAID10，支持全局热备盘，仅支持监控级AI盘或企业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录像机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 xml:space="preserve">海康威视DS-7916N-R4 </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可接驳符合ONVIF、RTSP标准的众多主流厂商网络摄像机；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支持接入H.265、Smart265、H.264、Smart264视频编码码流；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解码性能强劲，最大支持12路1080P解码（开启SVC增强模式后，可提升至16路1080P解码）；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支持800万像素高清网络视频的预览、存储与回放；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支持HDMI与VGA同/异源输出，HDMI最大支持4K超高清显示输出，VGA支持1080P高清显示输出；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自带4个SATA接口，最大支持满配10T硬盘；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支持IP设备集中管理，包括IP设备一键添加、参数配置、批量升级、导入/导出等；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自带8/16/16个PoE网口，可为PoE摄像机直连供电，即插即用，快速出图；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针对人、车及事件类型，支持快速回放与智能检索功能，大幅提升录像回放和检索效率；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最大支持8/16/16路本地同步回放；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支持萤石云服务，通过海康互联APP可实现手机远程预览/回放/配置；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支持萤石、ISUP以及GB28181协议，轻松实现平台接入；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监控硬盘</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海康8T专用监控盘</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台</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WD 8TB紫盘监控专用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监控硬盘</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海康6T专用监控盘</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WD 6TB紫盘监控专用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交换机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锐捷RG-ES05G 5口</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台</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4个10/100/1000Base-TX以太网端口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2个1000M SFP光口背板带宽：56Gbps，包转发率：27Mpps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防水箱</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塑料800C防水箱</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个</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塑料800C防水箱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材料：ABS工程专用塑料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具有抗干扰，超强的耐风吹雨打，日晒，坚固耐用，产品两边设置 有卡线槽以及多个挂件孔。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产品规格：300*280*100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球机电源</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海康室外球机电源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个</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24V 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球机支架</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海康摄像机专用支架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个</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全铜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监控电源线</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国标2.5平方2芯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米</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RVV护套线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网线</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一舟D135超五类</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米</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一舟超五类非屏蔽双姣线 305/箱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光纤</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烽火</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米</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12芯室外光纤 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水晶头</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一舟超五类RJ45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个</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一舟超五类RJ45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尾纤</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国产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根</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SC-SC单模，1.5米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尾纤</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国产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根</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 xml:space="preserve"> LC-SC ,3米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光纤直通器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国产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个</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SC-SC单模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前端熔纤盒</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国产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个</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4口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25波纹管</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PVC</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米</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排插</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公牛</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个</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4位5孔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lang w:val="en-US" w:eastAsia="zh-CN"/>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监控立杆</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定制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套</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4米户外监控立杆  加厚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线管</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联塑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685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米</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路面切割</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路面切割</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米</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含机械租用、人工切割及路面修复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辅助材料</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批</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包括线管配材，零配件以及施工所需的辅助材料材料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施工费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sz w:val="21"/>
                <w:szCs w:val="21"/>
              </w:rPr>
              <w:t>项</w:t>
            </w:r>
          </w:p>
        </w:tc>
        <w:tc>
          <w:tcPr>
            <w:tcW w:w="5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施工费含光纤熔接、设备工具租用费用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2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bidi="zh-CN"/>
              </w:rPr>
              <w:t>★</w:t>
            </w:r>
            <w:r>
              <w:rPr>
                <w:rFonts w:hint="eastAsia" w:ascii="宋体" w:hAnsi="宋体" w:eastAsia="宋体" w:cs="宋体"/>
                <w:b/>
                <w:bCs/>
                <w:color w:val="auto"/>
                <w:kern w:val="0"/>
                <w:sz w:val="21"/>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交付使用期</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交付使用期：自签订合同之日起</w:t>
            </w:r>
            <w:r>
              <w:rPr>
                <w:rFonts w:hint="eastAsia" w:ascii="宋体" w:hAnsi="宋体" w:eastAsia="宋体" w:cs="宋体"/>
                <w:color w:val="auto"/>
                <w:sz w:val="21"/>
                <w:szCs w:val="21"/>
                <w:highlight w:val="none"/>
                <w:lang w:val="en-US" w:eastAsia="zh-CN"/>
              </w:rPr>
              <w:t>7天</w:t>
            </w:r>
            <w:r>
              <w:rPr>
                <w:rFonts w:hint="eastAsia" w:ascii="宋体" w:hAnsi="宋体" w:eastAsia="宋体" w:cs="宋体"/>
                <w:bCs/>
                <w:color w:val="auto"/>
                <w:sz w:val="21"/>
                <w:szCs w:val="21"/>
                <w:highlight w:val="none"/>
              </w:rPr>
              <w:t>内完成全部</w:t>
            </w:r>
            <w:r>
              <w:rPr>
                <w:rFonts w:hint="eastAsia" w:ascii="宋体" w:hAnsi="宋体" w:eastAsia="宋体" w:cs="宋体"/>
                <w:bCs/>
                <w:color w:val="auto"/>
                <w:sz w:val="21"/>
                <w:szCs w:val="21"/>
                <w:highlight w:val="none"/>
                <w:lang w:val="en-US" w:eastAsia="zh-CN"/>
              </w:rPr>
              <w:t>清单内容</w:t>
            </w:r>
            <w:r>
              <w:rPr>
                <w:rFonts w:hint="eastAsia" w:ascii="宋体" w:hAnsi="宋体" w:eastAsia="宋体" w:cs="宋体"/>
                <w:color w:val="auto"/>
                <w:sz w:val="21"/>
                <w:szCs w:val="21"/>
                <w:highlight w:val="none"/>
              </w:rPr>
              <w:t>。</w:t>
            </w:r>
          </w:p>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bidi="ar"/>
              </w:rPr>
              <w:t>报价要求</w:t>
            </w:r>
          </w:p>
        </w:tc>
        <w:tc>
          <w:tcPr>
            <w:tcW w:w="7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val="0"/>
                <w:color w:val="auto"/>
                <w:kern w:val="0"/>
                <w:sz w:val="21"/>
                <w:szCs w:val="21"/>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bidi="ar"/>
              </w:rPr>
              <w:t>售后服务要求</w:t>
            </w:r>
          </w:p>
        </w:tc>
        <w:tc>
          <w:tcPr>
            <w:tcW w:w="7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1、</w:t>
            </w:r>
            <w:r>
              <w:rPr>
                <w:rFonts w:hint="eastAsia" w:ascii="宋体" w:hAnsi="宋体" w:eastAsia="宋体" w:cs="宋体"/>
                <w:color w:val="auto"/>
                <w:kern w:val="0"/>
                <w:sz w:val="21"/>
                <w:szCs w:val="21"/>
                <w:highlight w:val="none"/>
                <w:u w:val="none"/>
                <w:lang w:bidi="ar"/>
              </w:rPr>
              <w:t>质量保证期：</w:t>
            </w:r>
            <w:r>
              <w:rPr>
                <w:rFonts w:hint="eastAsia" w:ascii="宋体" w:hAnsi="宋体" w:eastAsia="宋体" w:cs="宋体"/>
                <w:color w:val="auto"/>
                <w:kern w:val="0"/>
                <w:sz w:val="21"/>
                <w:szCs w:val="21"/>
                <w:highlight w:val="none"/>
                <w:u w:val="none"/>
                <w:lang w:val="en-US" w:eastAsia="zh-CN" w:bidi="ar"/>
              </w:rPr>
              <w:t>2年</w:t>
            </w:r>
          </w:p>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质量要求</w:t>
            </w:r>
          </w:p>
        </w:tc>
        <w:tc>
          <w:tcPr>
            <w:tcW w:w="7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val="en-US" w:eastAsia="zh-CN" w:bidi="ar"/>
              </w:rPr>
              <w:t>1.</w:t>
            </w:r>
            <w:r>
              <w:rPr>
                <w:rFonts w:hint="eastAsia" w:ascii="宋体" w:hAnsi="宋体" w:eastAsia="宋体" w:cs="宋体"/>
                <w:color w:val="auto"/>
                <w:kern w:val="0"/>
                <w:sz w:val="21"/>
                <w:szCs w:val="21"/>
                <w:highlight w:val="none"/>
                <w:u w:val="none"/>
                <w:lang w:bidi="ar"/>
              </w:rPr>
              <w:t>产品质量符合国家现行标准</w:t>
            </w:r>
            <w:r>
              <w:rPr>
                <w:rFonts w:hint="eastAsia" w:ascii="宋体" w:hAnsi="宋体" w:eastAsia="宋体" w:cs="宋体"/>
                <w:color w:val="auto"/>
                <w:kern w:val="0"/>
                <w:sz w:val="21"/>
                <w:szCs w:val="21"/>
                <w:highlight w:val="none"/>
                <w:u w:val="none"/>
                <w:lang w:eastAsia="zh-CN" w:bidi="ar"/>
              </w:rPr>
              <w:t>、</w:t>
            </w:r>
            <w:r>
              <w:rPr>
                <w:rFonts w:hint="eastAsia" w:ascii="宋体" w:hAnsi="宋体" w:eastAsia="宋体" w:cs="宋体"/>
                <w:color w:val="auto"/>
                <w:kern w:val="0"/>
                <w:sz w:val="21"/>
                <w:szCs w:val="21"/>
                <w:highlight w:val="none"/>
                <w:u w:val="none"/>
                <w:lang w:bidi="ar"/>
              </w:rPr>
              <w:t>技术规范</w:t>
            </w:r>
            <w:r>
              <w:rPr>
                <w:rFonts w:hint="eastAsia" w:ascii="宋体" w:hAnsi="宋体" w:eastAsia="宋体" w:cs="宋体"/>
                <w:color w:val="auto"/>
                <w:kern w:val="0"/>
                <w:sz w:val="21"/>
                <w:szCs w:val="21"/>
                <w:highlight w:val="none"/>
                <w:u w:val="none"/>
                <w:lang w:val="en-US" w:eastAsia="zh-CN" w:bidi="ar"/>
              </w:rPr>
              <w:t>及本项目的特定要求</w:t>
            </w:r>
            <w:r>
              <w:rPr>
                <w:rFonts w:hint="eastAsia" w:ascii="宋体" w:hAnsi="宋体" w:eastAsia="宋体" w:cs="宋体"/>
                <w:color w:val="auto"/>
                <w:kern w:val="0"/>
                <w:sz w:val="21"/>
                <w:szCs w:val="21"/>
                <w:highlight w:val="none"/>
                <w:u w:val="none"/>
                <w:lang w:bidi="ar"/>
              </w:rPr>
              <w:t>。</w:t>
            </w:r>
          </w:p>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付款方式</w:t>
            </w:r>
          </w:p>
        </w:tc>
        <w:tc>
          <w:tcPr>
            <w:tcW w:w="7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color w:val="auto"/>
                <w:kern w:val="0"/>
                <w:sz w:val="21"/>
                <w:szCs w:val="21"/>
                <w:highlight w:val="none"/>
                <w:u w:val="none"/>
                <w:lang w:bidi="ar"/>
              </w:rPr>
              <w:t>1、</w:t>
            </w:r>
            <w:r>
              <w:rPr>
                <w:rFonts w:hint="eastAsia" w:ascii="宋体" w:hAnsi="宋体" w:eastAsia="宋体" w:cs="宋体"/>
                <w:color w:val="auto"/>
                <w:kern w:val="0"/>
                <w:sz w:val="21"/>
                <w:szCs w:val="21"/>
                <w:highlight w:val="none"/>
                <w:u w:val="none"/>
                <w:lang w:val="en-US" w:eastAsia="zh-CN" w:bidi="ar"/>
              </w:rPr>
              <w:t>签订合同且</w:t>
            </w:r>
            <w:r>
              <w:rPr>
                <w:rFonts w:hint="eastAsia" w:ascii="宋体" w:hAnsi="宋体" w:eastAsia="宋体" w:cs="宋体"/>
                <w:color w:val="auto"/>
                <w:sz w:val="21"/>
                <w:szCs w:val="21"/>
                <w:highlight w:val="none"/>
                <w:lang w:val="en-US" w:eastAsia="zh-CN" w:bidi="ar"/>
              </w:rPr>
              <w:t>甲方收到发票后3日内支付合同总价30%的预付款，验收</w:t>
            </w:r>
            <w:r>
              <w:rPr>
                <w:rFonts w:hint="eastAsia" w:ascii="宋体" w:hAnsi="宋体" w:eastAsia="宋体" w:cs="宋体"/>
                <w:color w:val="auto"/>
                <w:sz w:val="21"/>
                <w:szCs w:val="21"/>
                <w:highlight w:val="none"/>
                <w:lang w:eastAsia="zh-CN" w:bidi="ar"/>
              </w:rPr>
              <w:t>合格</w:t>
            </w:r>
            <w:r>
              <w:rPr>
                <w:rFonts w:hint="eastAsia" w:ascii="宋体" w:hAnsi="宋体" w:eastAsia="宋体" w:cs="宋体"/>
                <w:color w:val="auto"/>
                <w:sz w:val="21"/>
                <w:szCs w:val="21"/>
                <w:highlight w:val="none"/>
                <w:lang w:val="en-US" w:eastAsia="zh-CN" w:bidi="ar"/>
              </w:rPr>
              <w:t>且甲方收到发票后7个工作日内支付</w:t>
            </w:r>
            <w:r>
              <w:rPr>
                <w:rFonts w:hint="eastAsia" w:ascii="宋体" w:hAnsi="宋体" w:eastAsia="宋体" w:cs="宋体"/>
                <w:color w:val="auto"/>
                <w:sz w:val="21"/>
                <w:szCs w:val="21"/>
                <w:highlight w:val="none"/>
                <w:lang w:eastAsia="zh-CN" w:bidi="ar"/>
              </w:rPr>
              <w:t>完剩余</w:t>
            </w:r>
            <w:r>
              <w:rPr>
                <w:rFonts w:hint="eastAsia" w:ascii="宋体" w:hAnsi="宋体" w:eastAsia="宋体" w:cs="宋体"/>
                <w:color w:val="auto"/>
                <w:sz w:val="21"/>
                <w:szCs w:val="21"/>
                <w:highlight w:val="none"/>
                <w:lang w:val="en-US" w:eastAsia="zh-CN" w:bidi="ar"/>
              </w:rPr>
              <w:t>货</w:t>
            </w:r>
            <w:r>
              <w:rPr>
                <w:rFonts w:hint="eastAsia" w:ascii="宋体" w:hAnsi="宋体" w:eastAsia="宋体" w:cs="宋体"/>
                <w:color w:val="auto"/>
                <w:sz w:val="21"/>
                <w:szCs w:val="21"/>
                <w:highlight w:val="none"/>
                <w:lang w:eastAsia="zh-CN" w:bidi="ar"/>
              </w:rPr>
              <w:t>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其他要求</w:t>
            </w:r>
          </w:p>
        </w:tc>
        <w:tc>
          <w:tcPr>
            <w:tcW w:w="7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jc w:val="center"/>
        <w:rPr>
          <w:rFonts w:hint="eastAsia" w:ascii="宋体" w:hAnsi="宋体" w:eastAsia="宋体" w:cs="宋体"/>
          <w:color w:val="auto"/>
          <w:sz w:val="36"/>
          <w:szCs w:val="36"/>
          <w:highlight w:val="none"/>
          <w:lang w:val="en-US" w:eastAsia="zh-CN"/>
        </w:rPr>
      </w:pPr>
    </w:p>
    <w:p>
      <w:pPr>
        <w:jc w:val="center"/>
        <w:rPr>
          <w:rFonts w:hint="eastAsia" w:ascii="宋体" w:hAnsi="宋体" w:eastAsia="宋体" w:cs="宋体"/>
          <w:color w:val="auto"/>
          <w:sz w:val="36"/>
          <w:szCs w:val="36"/>
          <w:highlight w:val="none"/>
          <w:lang w:val="en-US" w:eastAsia="zh-CN"/>
        </w:rPr>
      </w:pPr>
    </w:p>
    <w:p>
      <w:pPr>
        <w:jc w:val="center"/>
        <w:rPr>
          <w:rFonts w:hint="eastAsia" w:ascii="宋体" w:hAnsi="宋体" w:eastAsia="宋体" w:cs="宋体"/>
          <w:color w:val="auto"/>
          <w:sz w:val="36"/>
          <w:szCs w:val="36"/>
          <w:highlight w:val="none"/>
          <w:lang w:val="en-US" w:eastAsia="zh-CN"/>
        </w:rPr>
      </w:pPr>
    </w:p>
    <w:p>
      <w:pPr>
        <w:jc w:val="center"/>
        <w:rPr>
          <w:rFonts w:hint="eastAsia" w:ascii="宋体" w:hAnsi="宋体" w:eastAsia="宋体" w:cs="宋体"/>
          <w:color w:val="auto"/>
          <w:sz w:val="36"/>
          <w:szCs w:val="36"/>
          <w:highlight w:val="none"/>
          <w:lang w:val="en-US" w:eastAsia="zh-CN"/>
        </w:rPr>
      </w:pPr>
    </w:p>
    <w:p>
      <w:pPr>
        <w:jc w:val="center"/>
        <w:rPr>
          <w:rFonts w:hint="eastAsia" w:ascii="宋体" w:hAnsi="宋体" w:eastAsia="宋体" w:cs="宋体"/>
          <w:color w:val="auto"/>
          <w:sz w:val="36"/>
          <w:szCs w:val="36"/>
          <w:highlight w:val="none"/>
          <w:lang w:val="en-US" w:eastAsia="zh-CN"/>
        </w:rPr>
      </w:pPr>
    </w:p>
    <w:p>
      <w:pPr>
        <w:jc w:val="center"/>
        <w:rPr>
          <w:rFonts w:hint="eastAsia" w:ascii="宋体" w:hAnsi="宋体" w:eastAsia="宋体" w:cs="宋体"/>
          <w:color w:val="auto"/>
          <w:sz w:val="36"/>
          <w:szCs w:val="36"/>
          <w:highlight w:val="none"/>
          <w:lang w:val="en-US" w:eastAsia="zh-CN"/>
        </w:rPr>
      </w:pPr>
    </w:p>
    <w:p>
      <w:pPr>
        <w:pStyle w:val="2"/>
        <w:rPr>
          <w:rFonts w:hint="eastAsia" w:ascii="宋体" w:hAnsi="宋体" w:eastAsia="宋体" w:cs="宋体"/>
          <w:color w:val="auto"/>
          <w:sz w:val="36"/>
          <w:szCs w:val="36"/>
          <w:highlight w:val="none"/>
          <w:lang w:val="en-US" w:eastAsia="zh-CN"/>
        </w:rPr>
      </w:pPr>
    </w:p>
    <w:p>
      <w:pPr>
        <w:rPr>
          <w:rFonts w:hint="eastAsia" w:ascii="宋体" w:hAnsi="宋体" w:eastAsia="宋体" w:cs="宋体"/>
          <w:color w:val="auto"/>
          <w:sz w:val="36"/>
          <w:szCs w:val="36"/>
          <w:highlight w:val="none"/>
          <w:lang w:val="en-US" w:eastAsia="zh-CN"/>
        </w:rPr>
      </w:pPr>
    </w:p>
    <w:p>
      <w:pPr>
        <w:pStyle w:val="2"/>
        <w:rPr>
          <w:rFonts w:hint="eastAsia" w:ascii="宋体" w:hAnsi="宋体" w:eastAsia="宋体" w:cs="宋体"/>
          <w:color w:val="auto"/>
          <w:sz w:val="36"/>
          <w:szCs w:val="36"/>
          <w:highlight w:val="none"/>
          <w:lang w:val="en-US" w:eastAsia="zh-CN"/>
        </w:rPr>
      </w:pPr>
    </w:p>
    <w:p>
      <w:pPr>
        <w:rPr>
          <w:rFonts w:hint="eastAsia" w:ascii="宋体" w:hAnsi="宋体" w:eastAsia="宋体" w:cs="宋体"/>
          <w:color w:val="auto"/>
          <w:sz w:val="36"/>
          <w:szCs w:val="36"/>
          <w:highlight w:val="none"/>
          <w:lang w:val="en-US" w:eastAsia="zh-CN"/>
        </w:rPr>
      </w:pPr>
    </w:p>
    <w:p>
      <w:pPr>
        <w:pStyle w:val="2"/>
        <w:rPr>
          <w:rFonts w:hint="eastAsia" w:ascii="宋体" w:hAnsi="宋体" w:eastAsia="宋体" w:cs="宋体"/>
          <w:color w:val="auto"/>
          <w:sz w:val="36"/>
          <w:szCs w:val="36"/>
          <w:highlight w:val="none"/>
          <w:lang w:val="en-US" w:eastAsia="zh-CN"/>
        </w:rPr>
      </w:pPr>
    </w:p>
    <w:p>
      <w:pPr>
        <w:rPr>
          <w:rFonts w:hint="eastAsia" w:ascii="宋体" w:hAnsi="宋体" w:eastAsia="宋体" w:cs="宋体"/>
          <w:color w:val="auto"/>
          <w:sz w:val="36"/>
          <w:szCs w:val="36"/>
          <w:highlight w:val="none"/>
          <w:lang w:val="en-US" w:eastAsia="zh-CN"/>
        </w:rPr>
      </w:pPr>
    </w:p>
    <w:p>
      <w:pPr>
        <w:pStyle w:val="2"/>
        <w:rPr>
          <w:rFonts w:hint="eastAsia" w:ascii="宋体" w:hAnsi="宋体" w:eastAsia="宋体" w:cs="宋体"/>
          <w:color w:val="auto"/>
          <w:sz w:val="36"/>
          <w:szCs w:val="36"/>
          <w:highlight w:val="none"/>
          <w:lang w:val="en-US" w:eastAsia="zh-CN"/>
        </w:rPr>
      </w:pPr>
    </w:p>
    <w:p>
      <w:pPr>
        <w:rPr>
          <w:rFonts w:hint="eastAsia" w:ascii="宋体" w:hAnsi="宋体" w:eastAsia="宋体" w:cs="宋体"/>
          <w:color w:val="auto"/>
          <w:sz w:val="36"/>
          <w:szCs w:val="36"/>
          <w:highlight w:val="none"/>
          <w:lang w:val="en-US" w:eastAsia="zh-CN"/>
        </w:rPr>
      </w:pPr>
    </w:p>
    <w:p>
      <w:pPr>
        <w:pStyle w:val="2"/>
        <w:rPr>
          <w:rFonts w:hint="eastAsia"/>
          <w:lang w:val="en-US" w:eastAsia="zh-CN"/>
        </w:rPr>
      </w:pPr>
    </w:p>
    <w:p>
      <w:pPr>
        <w:jc w:val="center"/>
        <w:rPr>
          <w:rFonts w:hint="eastAsia" w:ascii="宋体" w:hAnsi="宋体" w:eastAsia="宋体" w:cs="宋体"/>
          <w:color w:val="auto"/>
          <w:sz w:val="36"/>
          <w:szCs w:val="36"/>
          <w:highlight w:val="none"/>
          <w:lang w:val="en-US" w:eastAsia="zh-CN"/>
        </w:rPr>
      </w:pPr>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第三章  供应商须知</w:t>
      </w:r>
    </w:p>
    <w:p>
      <w:pPr>
        <w:pStyle w:val="4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418" w:type="dxa"/>
            <w:vAlign w:val="top"/>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w:t>
            </w:r>
            <w:r>
              <w:rPr>
                <w:rFonts w:hint="eastAsia" w:ascii="宋体" w:hAnsi="宋体" w:eastAsia="宋体" w:cs="宋体"/>
                <w:b w:val="0"/>
                <w:bCs/>
                <w:color w:val="auto"/>
                <w:sz w:val="21"/>
                <w:szCs w:val="21"/>
                <w:highlight w:val="none"/>
                <w:u w:val="single"/>
                <w:lang w:val="en-US" w:eastAsia="zh-CN"/>
              </w:rPr>
              <w:t>广西钦州恒通货柜码头仓储有限公司</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项目联系人：游杰</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电话：18977701864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恒通钧达散杂货码头海事、边检视频监控系统安装项目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人民币</w:t>
            </w:r>
            <w:r>
              <w:rPr>
                <w:rFonts w:hint="eastAsia" w:hAnsi="宋体" w:cs="宋体"/>
                <w:b w:val="0"/>
                <w:bCs/>
                <w:color w:val="auto"/>
                <w:sz w:val="21"/>
                <w:szCs w:val="21"/>
                <w:highlight w:val="none"/>
                <w:lang w:val="en-US" w:eastAsia="zh-CN"/>
              </w:rPr>
              <w:t>壹拾万元</w:t>
            </w:r>
            <w:r>
              <w:rPr>
                <w:rFonts w:hint="eastAsia" w:ascii="宋体" w:hAnsi="宋体" w:eastAsia="宋体" w:cs="宋体"/>
                <w:b w:val="0"/>
                <w:bCs/>
                <w:color w:val="auto"/>
                <w:sz w:val="21"/>
                <w:szCs w:val="21"/>
                <w:highlight w:val="none"/>
                <w:lang w:val="en-US" w:eastAsia="zh-CN"/>
              </w:rPr>
              <w:t>（￥：</w:t>
            </w:r>
            <w:r>
              <w:rPr>
                <w:rFonts w:hint="eastAsia" w:hAnsi="宋体" w:cs="宋体"/>
                <w:b w:val="0"/>
                <w:bCs/>
                <w:color w:val="auto"/>
                <w:sz w:val="21"/>
                <w:szCs w:val="21"/>
                <w:highlight w:val="none"/>
                <w:lang w:val="en-US" w:eastAsia="zh-CN"/>
              </w:rPr>
              <w:t>100000</w:t>
            </w:r>
            <w:r>
              <w:rPr>
                <w:rFonts w:hint="eastAsia" w:hAnsi="宋体" w:cs="宋体"/>
                <w:i w:val="0"/>
                <w:iCs w:val="0"/>
                <w:caps w:val="0"/>
                <w:color w:val="auto"/>
                <w:spacing w:val="0"/>
                <w:sz w:val="21"/>
                <w:szCs w:val="21"/>
                <w:shd w:val="clear" w:fill="FFFFFF"/>
                <w:lang w:val="en-US" w:eastAsia="zh-CN"/>
              </w:rPr>
              <w:t>.00</w:t>
            </w:r>
            <w:r>
              <w:rPr>
                <w:rFonts w:hint="eastAsia" w:ascii="宋体" w:hAnsi="宋体" w:eastAsia="宋体" w:cs="宋体"/>
                <w:b w:val="0"/>
                <w:bCs/>
                <w:color w:val="auto"/>
                <w:sz w:val="21"/>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人民币壹拾万元（￥：</w:t>
            </w:r>
            <w:r>
              <w:rPr>
                <w:rFonts w:hint="eastAsia" w:hAnsi="宋体" w:cs="宋体"/>
                <w:i w:val="0"/>
                <w:iCs w:val="0"/>
                <w:caps w:val="0"/>
                <w:color w:val="auto"/>
                <w:spacing w:val="0"/>
                <w:sz w:val="21"/>
                <w:szCs w:val="21"/>
                <w:shd w:val="clear" w:fill="FFFFFF"/>
                <w:lang w:val="en-US" w:eastAsia="zh-CN"/>
              </w:rPr>
              <w:t>100000.00</w:t>
            </w:r>
            <w:r>
              <w:rPr>
                <w:rFonts w:hint="eastAsia" w:ascii="宋体" w:hAnsi="宋体" w:eastAsia="宋体" w:cs="宋体"/>
                <w:b w:val="0"/>
                <w:bCs/>
                <w:color w:val="auto"/>
                <w:sz w:val="21"/>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文件的获取</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sz w:val="21"/>
                <w:szCs w:val="21"/>
                <w:highlight w:val="none"/>
              </w:rPr>
            </w:pPr>
            <w:r>
              <w:rPr>
                <w:rFonts w:hint="eastAsia" w:ascii="宋体" w:hAnsi="宋体" w:eastAsia="宋体" w:cs="宋体"/>
                <w:color w:val="auto"/>
                <w:sz w:val="21"/>
                <w:szCs w:val="21"/>
                <w:highlight w:val="none"/>
              </w:rPr>
              <w:t>供应商在广西自贸区钦州港片区开发投资集团有限责任公司网站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"http://www.qbtzjt.com" </w:instrText>
            </w:r>
            <w:r>
              <w:rPr>
                <w:rFonts w:hint="eastAsia" w:ascii="宋体" w:hAnsi="宋体" w:eastAsia="宋体" w:cs="宋体"/>
                <w:color w:val="auto"/>
                <w:sz w:val="21"/>
                <w:szCs w:val="21"/>
                <w:highlight w:val="none"/>
              </w:rPr>
              <w:fldChar w:fldCharType="separate"/>
            </w:r>
            <w:r>
              <w:rPr>
                <w:rStyle w:val="25"/>
                <w:rFonts w:hint="eastAsia" w:ascii="宋体" w:hAnsi="宋体" w:eastAsia="宋体" w:cs="宋体"/>
                <w:color w:val="auto"/>
                <w:sz w:val="21"/>
                <w:szCs w:val="21"/>
                <w:highlight w:val="none"/>
              </w:rPr>
              <w:t>http://www.qbtzjt.com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应具备的特定条件</w:t>
            </w:r>
          </w:p>
        </w:tc>
        <w:tc>
          <w:tcPr>
            <w:tcW w:w="64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1.供应商应当具备下列条件：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（1）国内注册（指按国家有关规定要求注册），依法能提供本次采购货物、工程和服务的供应商；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（2）具有独立承担民事责任的能力；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（3）具有良好的商业信誉和健全的财务会计制度；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（4）具有履行合同所必需的设备和专业技术能力；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（5）有依法缴纳税收和社会保障资金的良好记录；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（6）参加采购活动前三年内，在经营活动中没有重大违法记录；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（7）法律、行政法规规定的其他条件；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2.单位负责人为同一人或者存在直接控股、管理关系的不同供应商，不得参加同一合同项下的采购活动。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4.供应商为法人或者其他组织的提供其营业执照等证明文件（如营业执照或者事业单位法人证 书或者执业许可证等）必需提供。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5.供应商依法缴纳税收的相关材料（2023年9月至 2023年11月内任意一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6.本项目的特定资格要求：无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1.以上标明“必须提供”的材料属于复印件的，必须加盖供应商公章，否则响应文件按无效响应处理。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auto"/>
              <w:rPr>
                <w:rFonts w:hint="eastAsia" w:ascii="宋体" w:hAnsi="宋体" w:eastAsia="宋体" w:cs="宋体"/>
                <w:color w:val="auto"/>
                <w:spacing w:val="6"/>
                <w:kern w:val="48"/>
                <w:sz w:val="21"/>
                <w:szCs w:val="21"/>
                <w:highlight w:val="none"/>
                <w:lang w:eastAsia="zh-CN"/>
              </w:rPr>
            </w:pPr>
            <w:r>
              <w:rPr>
                <w:rFonts w:hint="eastAsia" w:ascii="宋体" w:hAnsi="宋体" w:eastAsia="宋体" w:cs="宋体"/>
                <w:b/>
                <w:bCs w:val="0"/>
                <w:color w:val="auto"/>
                <w:sz w:val="21"/>
                <w:szCs w:val="21"/>
                <w:highlight w:val="none"/>
                <w:lang w:val="en-US" w:eastAsia="zh-CN"/>
              </w:rPr>
              <w:t>2.竞标声明必须由法定代表人在规定签章处签字并加盖供应商公章，否则响应文件按无效响应处理。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w:t>
            </w:r>
          </w:p>
        </w:tc>
        <w:tc>
          <w:tcPr>
            <w:tcW w:w="6418" w:type="dxa"/>
            <w:vAlign w:val="center"/>
          </w:tcPr>
          <w:p>
            <w:pPr>
              <w:pStyle w:val="13"/>
              <w:keepNext w:val="0"/>
              <w:keepLines w:val="0"/>
              <w:suppressLineNumbers w:val="0"/>
              <w:spacing w:before="0" w:beforeAutospacing="0" w:after="0" w:afterAutospacing="0" w:line="36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接受联合体竞标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13</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文件份数</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b/>
                <w:bCs/>
                <w:color w:val="auto"/>
                <w:sz w:val="21"/>
                <w:szCs w:val="21"/>
                <w:highlight w:val="none"/>
              </w:rPr>
              <w:t>正本1份，副本两份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6"/>
                <w:kern w:val="48"/>
                <w:sz w:val="21"/>
                <w:szCs w:val="21"/>
                <w:highlight w:val="none"/>
              </w:rPr>
              <w:t>供应商必须在首次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截止时间</w:t>
            </w:r>
            <w:r>
              <w:rPr>
                <w:rFonts w:hint="eastAsia" w:ascii="宋体" w:hAnsi="宋体" w:eastAsia="宋体" w:cs="宋体"/>
                <w:color w:val="auto"/>
                <w:spacing w:val="6"/>
                <w:kern w:val="48"/>
                <w:sz w:val="21"/>
                <w:szCs w:val="21"/>
                <w:highlight w:val="none"/>
              </w:rPr>
              <w:t>前</w:t>
            </w:r>
            <w:r>
              <w:rPr>
                <w:rFonts w:hint="eastAsia" w:ascii="宋体" w:hAnsi="宋体" w:eastAsia="宋体" w:cs="宋体"/>
                <w:color w:val="auto"/>
                <w:spacing w:val="6"/>
                <w:kern w:val="48"/>
                <w:sz w:val="21"/>
                <w:szCs w:val="21"/>
                <w:highlight w:val="none"/>
                <w:lang w:eastAsia="zh-CN"/>
              </w:rPr>
              <w:t>，</w:t>
            </w:r>
            <w:r>
              <w:rPr>
                <w:rFonts w:hint="eastAsia" w:ascii="宋体" w:hAnsi="宋体" w:eastAsia="宋体" w:cs="宋体"/>
                <w:color w:val="auto"/>
                <w:spacing w:val="6"/>
                <w:kern w:val="48"/>
                <w:sz w:val="21"/>
                <w:szCs w:val="21"/>
                <w:highlight w:val="none"/>
              </w:rPr>
              <w:t>将响应文件密封送达</w:t>
            </w:r>
            <w:r>
              <w:rPr>
                <w:rFonts w:hint="eastAsia" w:ascii="宋体" w:hAnsi="宋体" w:eastAsia="宋体" w:cs="宋体"/>
                <w:color w:val="auto"/>
                <w:spacing w:val="6"/>
                <w:kern w:val="48"/>
                <w:sz w:val="21"/>
                <w:szCs w:val="21"/>
                <w:highlight w:val="none"/>
                <w:lang w:val="en-US" w:eastAsia="zh-CN"/>
              </w:rPr>
              <w:t>指定</w:t>
            </w:r>
            <w:r>
              <w:rPr>
                <w:rFonts w:hint="eastAsia" w:ascii="宋体" w:hAnsi="宋体" w:eastAsia="宋体" w:cs="宋体"/>
                <w:color w:val="auto"/>
                <w:spacing w:val="6"/>
                <w:kern w:val="48"/>
                <w:sz w:val="21"/>
                <w:szCs w:val="21"/>
                <w:highlight w:val="none"/>
              </w:rPr>
              <w:t>地点。在首次响应文件提交截止时间后送达的响应文件为无效文件</w:t>
            </w:r>
            <w:r>
              <w:rPr>
                <w:rFonts w:hint="eastAsia" w:ascii="宋体" w:hAnsi="宋体" w:eastAsia="宋体" w:cs="宋体"/>
                <w:color w:val="auto"/>
                <w:spacing w:val="6"/>
                <w:kern w:val="48"/>
                <w:sz w:val="21"/>
                <w:szCs w:val="21"/>
                <w:highlight w:val="none"/>
                <w:lang w:eastAsia="zh-CN"/>
              </w:rPr>
              <w:t>，</w:t>
            </w:r>
            <w:r>
              <w:rPr>
                <w:rFonts w:hint="eastAsia" w:ascii="宋体" w:hAnsi="宋体" w:eastAsia="宋体" w:cs="宋体"/>
                <w:color w:val="auto"/>
                <w:spacing w:val="6"/>
                <w:kern w:val="48"/>
                <w:sz w:val="21"/>
                <w:szCs w:val="21"/>
                <w:highlight w:val="none"/>
              </w:rPr>
              <w:t>采购</w:t>
            </w:r>
            <w:r>
              <w:rPr>
                <w:rFonts w:hint="eastAsia" w:ascii="宋体" w:hAnsi="宋体" w:eastAsia="宋体" w:cs="宋体"/>
                <w:color w:val="auto"/>
                <w:spacing w:val="6"/>
                <w:kern w:val="48"/>
                <w:sz w:val="21"/>
                <w:szCs w:val="21"/>
                <w:highlight w:val="none"/>
                <w:lang w:val="en-US" w:eastAsia="zh-CN"/>
              </w:rPr>
              <w:t>人</w:t>
            </w:r>
            <w:r>
              <w:rPr>
                <w:rFonts w:hint="eastAsia" w:ascii="宋体" w:hAnsi="宋体" w:eastAsia="宋体" w:cs="宋体"/>
                <w:color w:val="auto"/>
                <w:spacing w:val="6"/>
                <w:kern w:val="48"/>
                <w:sz w:val="21"/>
                <w:szCs w:val="21"/>
                <w:highlight w:val="none"/>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评审方法</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竞标有效期</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自竞标截止时间起</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竞标保证金金额</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6"/>
                <w:kern w:val="48"/>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竞标截止时间</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与第一章</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公告</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响应文件提交</w:t>
            </w:r>
          </w:p>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地点</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与第一章</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公告</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时间和地点</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p>
        </w:tc>
        <w:tc>
          <w:tcPr>
            <w:tcW w:w="1711" w:type="dxa"/>
            <w:vAlign w:val="center"/>
          </w:tcPr>
          <w:p>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bl>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2"/>
        <w:rPr>
          <w:rFonts w:hint="eastAsia" w:ascii="宋体" w:hAnsi="宋体" w:eastAsia="宋体" w:cs="宋体"/>
          <w:b/>
          <w:bCs/>
          <w:color w:val="auto"/>
          <w:sz w:val="28"/>
          <w:szCs w:val="28"/>
          <w:highlight w:val="none"/>
          <w:lang w:val="en-US" w:eastAsia="zh-CN" w:bidi="zh-CN"/>
        </w:rPr>
      </w:pPr>
      <w:r>
        <w:rPr>
          <w:rFonts w:hint="eastAsia" w:ascii="宋体" w:hAnsi="宋体" w:eastAsia="宋体" w:cs="宋体"/>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t>1.项目概况</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采购预算：见</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1.4最高限价：</w:t>
      </w:r>
      <w:r>
        <w:rPr>
          <w:rFonts w:hint="eastAsia" w:ascii="宋体" w:hAnsi="宋体" w:eastAsia="宋体" w:cs="宋体"/>
          <w:color w:val="auto"/>
          <w:sz w:val="24"/>
          <w:szCs w:val="24"/>
          <w:highlight w:val="none"/>
          <w:lang w:bidi="zh-CN"/>
        </w:rPr>
        <w:t>见</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5</w:t>
      </w:r>
      <w:r>
        <w:rPr>
          <w:rFonts w:hint="eastAsia"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6</w:t>
      </w:r>
      <w:r>
        <w:rPr>
          <w:rFonts w:hint="eastAsia" w:ascii="宋体" w:hAnsi="宋体" w:eastAsia="宋体" w:cs="宋体"/>
          <w:color w:val="auto"/>
          <w:sz w:val="24"/>
          <w:szCs w:val="24"/>
          <w:highlight w:val="none"/>
          <w:lang w:bidi="zh-CN"/>
        </w:rPr>
        <w:t>获取竞争性磋商文件的时间、地点、方式：见供应商须知前附表。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1.8供应商：是指有能力向采购人提供符合本项目技术规格要求的货物、工程、服务的法人、其他组织和自然人。</w:t>
      </w:r>
    </w:p>
    <w:p>
      <w:pPr>
        <w:pStyle w:val="43"/>
        <w:rPr>
          <w:rFonts w:hint="eastAsia"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bidi="zh-CN"/>
        </w:rPr>
        <w:t>2.采购信息发布媒体：</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与本项目相关的采购业务信息（包括竞争性磋商公告、竞争性磋商</w:t>
      </w:r>
      <w:r>
        <w:rPr>
          <w:rFonts w:hint="eastAsia" w:ascii="宋体" w:hAnsi="宋体" w:eastAsia="宋体" w:cs="宋体"/>
          <w:color w:val="auto"/>
          <w:sz w:val="24"/>
          <w:szCs w:val="24"/>
          <w:highlight w:val="none"/>
          <w:lang w:val="en-US" w:bidi="zh-CN"/>
        </w:rPr>
        <w:t>文件、</w:t>
      </w:r>
      <w:r>
        <w:rPr>
          <w:rFonts w:hint="eastAsia" w:ascii="宋体" w:hAnsi="宋体" w:eastAsia="宋体" w:cs="宋体"/>
          <w:color w:val="auto"/>
          <w:sz w:val="24"/>
          <w:szCs w:val="24"/>
          <w:highlight w:val="none"/>
          <w:lang w:bidi="zh-CN"/>
        </w:rPr>
        <w:t>成交公告及其更正事项等）将在以下媒体上发布：广西自贸区钦州港片区开发投资集团有限责任公司网站</w:t>
      </w:r>
      <w:r>
        <w:rPr>
          <w:rFonts w:hint="eastAsia" w:ascii="宋体" w:hAnsi="宋体" w:eastAsia="宋体" w:cs="宋体"/>
          <w:color w:val="auto"/>
          <w:sz w:val="24"/>
          <w:szCs w:val="24"/>
          <w:highlight w:val="none"/>
          <w:lang w:bidi="zh-CN"/>
        </w:rPr>
        <w:fldChar w:fldCharType="begin"/>
      </w:r>
      <w:r>
        <w:rPr>
          <w:rFonts w:hint="eastAsia" w:ascii="宋体" w:hAnsi="宋体" w:eastAsia="宋体" w:cs="宋体"/>
          <w:color w:val="auto"/>
          <w:sz w:val="24"/>
          <w:szCs w:val="24"/>
          <w:highlight w:val="none"/>
          <w:lang w:bidi="zh-CN"/>
        </w:rPr>
        <w:instrText xml:space="preserve"> HYPERLINK "http://www.qbtzjt.com" </w:instrText>
      </w:r>
      <w:r>
        <w:rPr>
          <w:rFonts w:hint="eastAsia" w:ascii="宋体" w:hAnsi="宋体" w:eastAsia="宋体" w:cs="宋体"/>
          <w:color w:val="auto"/>
          <w:sz w:val="24"/>
          <w:szCs w:val="24"/>
          <w:highlight w:val="none"/>
          <w:lang w:bidi="zh-CN"/>
        </w:rPr>
        <w:fldChar w:fldCharType="separate"/>
      </w:r>
      <w:r>
        <w:rPr>
          <w:rStyle w:val="25"/>
          <w:rFonts w:hint="eastAsia" w:ascii="宋体" w:hAnsi="宋体" w:eastAsia="宋体" w:cs="宋体"/>
          <w:color w:val="auto"/>
          <w:sz w:val="24"/>
          <w:szCs w:val="24"/>
          <w:highlight w:val="none"/>
          <w:lang w:bidi="zh-CN"/>
        </w:rPr>
        <w:t>http://www.qbtzjt.com</w:t>
      </w:r>
      <w:r>
        <w:rPr>
          <w:rFonts w:hint="eastAsia" w:ascii="宋体" w:hAnsi="宋体" w:eastAsia="宋体" w:cs="宋体"/>
          <w:color w:val="auto"/>
          <w:sz w:val="24"/>
          <w:szCs w:val="24"/>
          <w:highlight w:val="none"/>
          <w:lang w:bidi="zh-CN"/>
        </w:rPr>
        <w:fldChar w:fldCharType="end"/>
      </w:r>
      <w:r>
        <w:rPr>
          <w:rFonts w:hint="eastAsia" w:ascii="宋体" w:hAnsi="宋体" w:eastAsia="宋体" w:cs="宋体"/>
          <w:color w:val="auto"/>
          <w:sz w:val="24"/>
          <w:szCs w:val="24"/>
          <w:highlight w:val="none"/>
          <w:lang w:bidi="zh-CN"/>
        </w:rPr>
        <w:t>获取（下载）。</w:t>
      </w:r>
    </w:p>
    <w:p>
      <w:pPr>
        <w:pStyle w:val="43"/>
        <w:rPr>
          <w:rFonts w:hint="eastAsia"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bidi="zh-CN"/>
        </w:rPr>
        <w:t>3.</w:t>
      </w:r>
      <w:r>
        <w:rPr>
          <w:rFonts w:hint="eastAsia" w:ascii="宋体" w:hAnsi="宋体" w:eastAsia="宋体" w:cs="宋体"/>
          <w:color w:val="auto"/>
          <w:sz w:val="24"/>
          <w:szCs w:val="24"/>
          <w:highlight w:val="none"/>
          <w:lang w:bidi="zh-CN"/>
        </w:rPr>
        <w:t>供应商</w:t>
      </w:r>
      <w:r>
        <w:rPr>
          <w:rFonts w:hint="eastAsia" w:ascii="宋体" w:hAnsi="宋体" w:eastAsia="宋体" w:cs="宋体"/>
          <w:b/>
          <w:bCs/>
          <w:color w:val="auto"/>
          <w:sz w:val="24"/>
          <w:szCs w:val="28"/>
          <w:highlight w:val="none"/>
          <w:lang w:bidi="zh-CN"/>
        </w:rPr>
        <w:t>资格要求：</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eastAsia" w:ascii="宋体" w:hAnsi="宋体" w:eastAsia="宋体" w:cs="宋体"/>
          <w:color w:val="auto"/>
          <w:sz w:val="24"/>
          <w:szCs w:val="24"/>
          <w:highlight w:val="none"/>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3.2</w:t>
      </w:r>
      <w:r>
        <w:rPr>
          <w:rFonts w:hint="eastAsia"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eastAsia"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4.费用承担</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eastAsia" w:ascii="宋体" w:hAnsi="宋体" w:eastAsia="宋体" w:cs="宋体"/>
          <w:color w:val="auto"/>
          <w:sz w:val="24"/>
          <w:szCs w:val="24"/>
          <w:highlight w:val="none"/>
          <w:lang w:bidi="zh-CN"/>
        </w:rPr>
        <w:t>活动发生的费用自理。</w:t>
      </w:r>
    </w:p>
    <w:p>
      <w:pPr>
        <w:pStyle w:val="43"/>
        <w:rPr>
          <w:rFonts w:hint="eastAsia"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bidi="zh-CN"/>
        </w:rPr>
        <w:t>5.联合体竞标</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5.1本项目是否接受联合体竞标，详见“供应商须知前附表”。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5.2如接受联合体竞标，联合体竞标要求详见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p>
    <w:p>
      <w:pPr>
        <w:pStyle w:val="43"/>
        <w:rPr>
          <w:rFonts w:hint="eastAsia"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bidi="zh-CN"/>
        </w:rPr>
        <w:t>6.转包与分包</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6.1本项目不允许转包。</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6.2本项目是否允许分包详见“供应商须知前附表”，本项目不允许违法分包。</w:t>
      </w:r>
    </w:p>
    <w:p>
      <w:pPr>
        <w:pStyle w:val="43"/>
        <w:rPr>
          <w:rFonts w:hint="eastAsia"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eastAsia" w:ascii="宋体" w:hAnsi="宋体" w:eastAsia="宋体" w:cs="宋体"/>
          <w:color w:val="auto"/>
          <w:sz w:val="24"/>
          <w:szCs w:val="28"/>
          <w:highlight w:val="none"/>
          <w:lang w:bidi="zh-CN"/>
        </w:rPr>
        <w:t>语言文字</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除专用术语外，与</w:t>
      </w:r>
      <w:r>
        <w:rPr>
          <w:rFonts w:hint="eastAsia" w:ascii="宋体" w:hAnsi="宋体" w:eastAsia="宋体" w:cs="宋体"/>
          <w:color w:val="auto"/>
          <w:sz w:val="24"/>
          <w:szCs w:val="24"/>
          <w:highlight w:val="none"/>
          <w:lang w:val="en-US" w:bidi="zh-CN"/>
        </w:rPr>
        <w:t>本次采购活动</w:t>
      </w:r>
      <w:r>
        <w:rPr>
          <w:rFonts w:hint="eastAsia" w:ascii="宋体" w:hAnsi="宋体" w:eastAsia="宋体" w:cs="宋体"/>
          <w:color w:val="auto"/>
          <w:sz w:val="24"/>
          <w:szCs w:val="24"/>
          <w:highlight w:val="none"/>
          <w:lang w:bidi="zh-CN"/>
        </w:rPr>
        <w:t>有关的语言均使用中文。必要时专用术语应附有中文注释。</w:t>
      </w:r>
    </w:p>
    <w:p>
      <w:pPr>
        <w:pStyle w:val="43"/>
        <w:rPr>
          <w:rFonts w:hint="eastAsia"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8.计量单位</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所有计量均采用中华人民共和国法定计量单位。</w:t>
      </w:r>
    </w:p>
    <w:p>
      <w:pPr>
        <w:pStyle w:val="43"/>
        <w:rPr>
          <w:rFonts w:hint="eastAsia"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9.否决竞标条件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9.1有下列情形之一的，属于相互串通竞标，响应文件将被视为无效：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9.2有下列情形之一的，视为供应商相互串通竞标，响应文件将被视为无效：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9.2.1不同供应商的响应文件由同一单位或者个人编制；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9.2.2不同供应商委托同一单位或者个人办理竞标事宜；</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9.2.3不同供应商的响应文件载明的项目管理成员为同一人；</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9.2.4不同供应商的响应文件异常一致或者报价呈规律性差异；</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9.2.5不同供应商的响应文件相互混装；</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9.2.6不同供应商的竞标保证金从同一单位或者个人的账户转出。</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9.3响应文件将被视为无效的其他情形：</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9.3.1响应文件逾期送达的或者未送达指定地点的；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9.3.2响应文件未按采购文件要求密封的；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9.3.3响应文件未按规定的格式填写，内容不全或关键字迹模糊、无法辨认的；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9.3.4响应文件无单位盖章并无法定代表人或法定代表人授权的代理人签字或盖章的；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pPr>
        <w:pStyle w:val="43"/>
        <w:rPr>
          <w:rFonts w:hint="eastAsia"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10.采购人员及相关人员与供应商有下列利害关系之一的，应当回避：</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10.1参加采购活动前3年内与供应商存在劳动关系；</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10.2参加采购活动前3年内担任供应商的董事、监事；</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10.3参加采购活动前3年内是供应商的控股股东或者实际控制人；</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10.4与供应商的法定代表人或者负责人有夫妻、直系血亲、三代以内旁系血亲或者近姻亲关系；</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10.5与供应商有其他可能影响采购活动公平、公正进行的关系。</w:t>
      </w:r>
    </w:p>
    <w:p>
      <w:pPr>
        <w:numPr>
          <w:ilvl w:val="0"/>
          <w:numId w:val="0"/>
        </w:numPr>
        <w:adjustRightInd w:val="0"/>
        <w:snapToGrid w:val="0"/>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pPr>
        <w:pStyle w:val="43"/>
        <w:rPr>
          <w:rFonts w:hint="eastAsia"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eastAsia" w:ascii="宋体" w:hAnsi="宋体" w:eastAsia="宋体" w:cs="宋体"/>
          <w:b/>
          <w:bCs/>
          <w:color w:val="auto"/>
          <w:sz w:val="24"/>
          <w:szCs w:val="28"/>
          <w:highlight w:val="none"/>
          <w:lang w:bidi="zh-CN"/>
        </w:rPr>
        <w:t>.响应文件的编制原则</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竞争性磋商</w:t>
      </w:r>
      <w:r>
        <w:rPr>
          <w:rFonts w:hint="eastAsia" w:ascii="宋体" w:hAnsi="宋体" w:eastAsia="宋体" w:cs="宋体"/>
          <w:color w:val="auto"/>
          <w:sz w:val="24"/>
          <w:szCs w:val="24"/>
          <w:highlight w:val="none"/>
          <w:lang w:bidi="zh-CN"/>
        </w:rPr>
        <w:t>文件的要求编制响应文件，并对其提交的响应文件的真实性、合法性承担法律责任。响应文件必须对竞争性磋商文件作出实质性响应。</w:t>
      </w:r>
    </w:p>
    <w:p>
      <w:pPr>
        <w:pStyle w:val="43"/>
        <w:rPr>
          <w:rFonts w:hint="eastAsia"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eastAsia" w:ascii="宋体" w:hAnsi="宋体" w:eastAsia="宋体" w:cs="宋体"/>
          <w:b/>
          <w:bCs/>
          <w:color w:val="auto"/>
          <w:sz w:val="24"/>
          <w:szCs w:val="28"/>
          <w:highlight w:val="none"/>
          <w:lang w:bidi="zh-CN"/>
        </w:rPr>
        <w:t>.响应文件的组成</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.1响应文件由</w:t>
      </w:r>
      <w:r>
        <w:rPr>
          <w:rFonts w:hint="eastAsia" w:ascii="宋体" w:hAnsi="宋体" w:eastAsia="宋体" w:cs="宋体"/>
          <w:b/>
          <w:bCs/>
          <w:color w:val="auto"/>
          <w:sz w:val="24"/>
          <w:szCs w:val="24"/>
          <w:highlight w:val="none"/>
          <w:lang w:bidi="zh-CN"/>
        </w:rPr>
        <w:t>资格证明文件、报价商务技术文件</w:t>
      </w:r>
      <w:r>
        <w:rPr>
          <w:rFonts w:hint="eastAsia" w:ascii="宋体" w:hAnsi="宋体" w:eastAsia="宋体" w:cs="宋体"/>
          <w:color w:val="auto"/>
          <w:sz w:val="24"/>
          <w:szCs w:val="24"/>
          <w:highlight w:val="none"/>
          <w:lang w:bidi="zh-CN"/>
        </w:rPr>
        <w:t>两部分组成。</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.1.1资格证明文件：详见供应商须知前附表。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.1.2报价商务技术文件：详见供应商须知前附表。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.2响应文件电子版：详见供应商须知前附表。</w:t>
      </w:r>
    </w:p>
    <w:p>
      <w:pPr>
        <w:pStyle w:val="43"/>
        <w:numPr>
          <w:ilvl w:val="0"/>
          <w:numId w:val="0"/>
        </w:numPr>
        <w:rPr>
          <w:rFonts w:hint="eastAsia"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eastAsia" w:ascii="宋体" w:hAnsi="宋体" w:eastAsia="宋体" w:cs="宋体"/>
          <w:color w:val="auto"/>
          <w:highlight w:val="none"/>
          <w:lang w:bidi="zh-CN"/>
        </w:rPr>
        <w:t>响应文件编制的要求</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eastAsia" w:ascii="宋体" w:hAnsi="宋体" w:eastAsia="宋体" w:cs="宋体"/>
          <w:color w:val="auto"/>
          <w:sz w:val="24"/>
          <w:szCs w:val="24"/>
          <w:highlight w:val="none"/>
          <w:lang w:bidi="zh-CN"/>
        </w:rPr>
        <w:t>文件规定的格式和顺序编制、装订响应文件并标注页码，响应文件内容不完整、编排混乱导致响应文件被误读、漏读或者查找不到相关内容的，由此引发的后果由供应商承担。</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.2响应文件应按</w:t>
      </w:r>
      <w:r>
        <w:rPr>
          <w:rFonts w:hint="eastAsia" w:ascii="宋体" w:hAnsi="宋体" w:eastAsia="宋体" w:cs="宋体"/>
          <w:b/>
          <w:bCs/>
          <w:color w:val="auto"/>
          <w:sz w:val="24"/>
          <w:szCs w:val="24"/>
          <w:highlight w:val="none"/>
          <w:lang w:bidi="zh-CN"/>
        </w:rPr>
        <w:t>资格证明文件、报价商务技术文件</w:t>
      </w:r>
      <w:r>
        <w:rPr>
          <w:rFonts w:hint="eastAsia" w:ascii="宋体" w:hAnsi="宋体" w:eastAsia="宋体" w:cs="宋体"/>
          <w:color w:val="auto"/>
          <w:sz w:val="24"/>
          <w:szCs w:val="24"/>
          <w:highlight w:val="none"/>
          <w:lang w:bidi="zh-CN"/>
        </w:rPr>
        <w:t>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.3响应文件的正本应打印或者用不褪色的墨水填写，响应文件正本除本“供应商须知”中规定的可提供复印件外均须提供原件，副本可为正本签字、盖章后的复印件，当副本和正本不一致时，以正本为准。</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.4响应文件须由供应商在规定位置盖公章并由法定代表人或者委托代理人签字，否则其响应文件按无效响应处理。骑缝盖公章不视为在规定位置盖章。</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.5响应文件中标注的供应商名称应与营业执照（事业单位法人证书、执业许可证、自然人身份证）及公章一致，否则其响应文件按无效响应处理。</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注：供应商必须根据所投分标分别提交响应文件，否则响应文件将被拒绝。</w:t>
      </w:r>
    </w:p>
    <w:p>
      <w:pPr>
        <w:pStyle w:val="43"/>
        <w:numPr>
          <w:ilvl w:val="0"/>
          <w:numId w:val="0"/>
        </w:numPr>
        <w:rPr>
          <w:rFonts w:hint="eastAsia"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eastAsia" w:ascii="宋体" w:hAnsi="宋体" w:eastAsia="宋体" w:cs="宋体"/>
          <w:color w:val="auto"/>
          <w:highlight w:val="none"/>
          <w:lang w:bidi="zh-CN"/>
        </w:rPr>
        <w:t>响应文件的密封和标记</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eastAsia" w:ascii="宋体" w:hAnsi="宋体" w:eastAsia="宋体" w:cs="宋体"/>
          <w:color w:val="auto"/>
          <w:sz w:val="24"/>
          <w:szCs w:val="24"/>
          <w:highlight w:val="none"/>
          <w:lang w:bidi="zh-CN"/>
        </w:rPr>
        <w:t>箱（响应文件的补充、修改可另行单独递交）中并加以密封，封口处必须加盖供应商公章或者法定代表人签字或者委托代理人签字，以示密封。</w:t>
      </w:r>
    </w:p>
    <w:p>
      <w:pPr>
        <w:numPr>
          <w:ilvl w:val="0"/>
          <w:numId w:val="0"/>
        </w:num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.2响应文件外层包装封面上应标记“</w:t>
      </w:r>
      <w:r>
        <w:rPr>
          <w:rFonts w:hint="eastAsia" w:ascii="宋体" w:hAnsi="宋体" w:eastAsia="宋体" w:cs="宋体"/>
          <w:b/>
          <w:bCs/>
          <w:color w:val="auto"/>
          <w:sz w:val="24"/>
          <w:szCs w:val="24"/>
          <w:highlight w:val="none"/>
          <w:lang w:bidi="zh-CN"/>
        </w:rPr>
        <w:t>项目名称、项目编号、供应商名称、所竞分标、首次响应文件提交截止时间前不得启封</w:t>
      </w:r>
      <w:r>
        <w:rPr>
          <w:rFonts w:hint="eastAsia" w:ascii="宋体" w:hAnsi="宋体" w:eastAsia="宋体" w:cs="宋体"/>
          <w:color w:val="auto"/>
          <w:sz w:val="24"/>
          <w:szCs w:val="24"/>
          <w:highlight w:val="none"/>
          <w:lang w:bidi="zh-CN"/>
        </w:rPr>
        <w:t>”字样。</w:t>
      </w:r>
    </w:p>
    <w:p>
      <w:pPr>
        <w:numPr>
          <w:ilvl w:val="0"/>
          <w:numId w:val="0"/>
        </w:numPr>
        <w:ind w:firstLine="480" w:firstLineChars="200"/>
        <w:rPr>
          <w:rFonts w:hint="eastAsia" w:ascii="宋体" w:hAnsi="宋体" w:eastAsia="宋体" w:cs="宋体"/>
          <w:b w:val="0"/>
          <w:bCs w:val="0"/>
          <w:color w:val="auto"/>
          <w:sz w:val="24"/>
          <w:szCs w:val="24"/>
          <w:highlight w:val="none"/>
          <w:lang w:val="en-US" w:eastAsia="zh-CN"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.3未按上述规定密封的响应文件将被拒收。</w:t>
      </w:r>
    </w:p>
    <w:p>
      <w:pPr>
        <w:pStyle w:val="43"/>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eastAsia" w:ascii="宋体" w:hAnsi="宋体" w:eastAsia="宋体" w:cs="宋体"/>
          <w:color w:val="auto"/>
          <w:highlight w:val="none"/>
          <w:lang w:bidi="zh-CN"/>
        </w:rPr>
        <w:t>响应文件的提交</w:t>
      </w:r>
    </w:p>
    <w:p>
      <w:pPr>
        <w:pStyle w:val="43"/>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pPr>
        <w:pStyle w:val="4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第四章  评审办法</w:t>
      </w:r>
    </w:p>
    <w:p>
      <w:pPr>
        <w:pStyle w:val="43"/>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16.磋商小组的构成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本采购项目的磋商小组分别由依法组成的评审专家、采购人代表等三人以上单数组成，其中专家人数不少于成员总数的三分之二。</w:t>
      </w:r>
    </w:p>
    <w:p>
      <w:pPr>
        <w:pStyle w:val="43"/>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pPr>
        <w:pStyle w:val="43"/>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18.评审方法</w:t>
      </w:r>
    </w:p>
    <w:p>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ar"/>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r>
        <w:rPr>
          <w:rFonts w:hint="eastAsia" w:ascii="宋体" w:hAnsi="宋体" w:eastAsia="宋体" w:cs="宋体"/>
          <w:b w:val="0"/>
          <w:bCs w:val="0"/>
          <w:color w:val="auto"/>
          <w:kern w:val="2"/>
          <w:sz w:val="24"/>
          <w:szCs w:val="24"/>
          <w:highlight w:val="none"/>
          <w:lang w:val="en-US" w:eastAsia="zh-CN" w:bidi="zh-CN"/>
        </w:rPr>
        <w:t>。</w:t>
      </w:r>
    </w:p>
    <w:p>
      <w:pPr>
        <w:pStyle w:val="43"/>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ascii="宋体" w:hAnsi="宋体" w:eastAsia="宋体" w:cs="宋体"/>
          <w:color w:val="auto"/>
          <w:highlight w:val="none"/>
          <w:lang w:val="en-US" w:eastAsia="zh-CN"/>
        </w:rPr>
        <w:br w:type="page"/>
      </w:r>
      <w:r>
        <w:rPr>
          <w:rFonts w:hint="eastAsia" w:ascii="宋体" w:hAnsi="宋体" w:eastAsia="宋体" w:cs="宋体"/>
          <w:b/>
          <w:bCs/>
          <w:i w:val="0"/>
          <w:iCs w:val="0"/>
          <w:caps w:val="0"/>
          <w:color w:val="auto"/>
          <w:spacing w:val="0"/>
          <w:sz w:val="36"/>
          <w:szCs w:val="36"/>
          <w:highlight w:val="none"/>
          <w:shd w:val="clear" w:fill="FFFFFF"/>
          <w:lang w:val="en-US" w:eastAsia="zh-CN"/>
        </w:rPr>
        <w:t>第五章、定标方式</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宋体" w:hAnsi="宋体" w:eastAsia="宋体" w:cs="宋体"/>
          <w:i w:val="0"/>
          <w:iCs w:val="0"/>
          <w:caps w:val="0"/>
          <w:color w:val="auto"/>
          <w:spacing w:val="0"/>
          <w:sz w:val="28"/>
          <w:szCs w:val="28"/>
          <w:highlight w:val="none"/>
          <w:u w:val="none"/>
          <w:shd w:val="clear" w:fill="FFFFFF"/>
          <w:vertAlign w:val="baseline"/>
          <w:lang w:eastAsia="zh-CN"/>
        </w:rPr>
      </w:pPr>
      <w:r>
        <w:rPr>
          <w:rFonts w:hint="eastAsia" w:ascii="宋体" w:hAnsi="宋体" w:eastAsia="宋体" w:cs="宋体"/>
          <w:i w:val="0"/>
          <w:iCs w:val="0"/>
          <w:caps w:val="0"/>
          <w:color w:val="auto"/>
          <w:spacing w:val="0"/>
          <w:sz w:val="28"/>
          <w:szCs w:val="28"/>
          <w:highlight w:val="none"/>
          <w:u w:val="none"/>
          <w:shd w:val="clear" w:fill="FFFFFF"/>
          <w:vertAlign w:val="baseline"/>
        </w:rPr>
        <w:t>综合评</w:t>
      </w:r>
      <w:r>
        <w:rPr>
          <w:rFonts w:hint="eastAsia" w:ascii="宋体" w:hAnsi="宋体" w:eastAsia="宋体" w:cs="宋体"/>
          <w:i w:val="0"/>
          <w:iCs w:val="0"/>
          <w:caps w:val="0"/>
          <w:color w:val="auto"/>
          <w:spacing w:val="0"/>
          <w:sz w:val="28"/>
          <w:szCs w:val="28"/>
          <w:highlight w:val="none"/>
          <w:u w:val="none"/>
          <w:shd w:val="clear" w:fill="FFFFFF"/>
          <w:vertAlign w:val="baseline"/>
          <w:lang w:eastAsia="zh-CN"/>
        </w:rPr>
        <w:t>分</w:t>
      </w:r>
      <w:r>
        <w:rPr>
          <w:rFonts w:hint="eastAsia" w:ascii="宋体" w:hAnsi="宋体" w:eastAsia="宋体" w:cs="宋体"/>
          <w:i w:val="0"/>
          <w:iCs w:val="0"/>
          <w:caps w:val="0"/>
          <w:color w:val="auto"/>
          <w:spacing w:val="0"/>
          <w:sz w:val="28"/>
          <w:szCs w:val="28"/>
          <w:highlight w:val="none"/>
          <w:u w:val="none"/>
          <w:shd w:val="clear" w:fill="FFFFFF"/>
          <w:vertAlign w:val="baseline"/>
        </w:rPr>
        <w:t>法</w:t>
      </w:r>
      <w:r>
        <w:rPr>
          <w:rFonts w:hint="eastAsia" w:ascii="宋体" w:hAnsi="宋体" w:eastAsia="宋体" w:cs="宋体"/>
          <w:i w:val="0"/>
          <w:iCs w:val="0"/>
          <w:caps w:val="0"/>
          <w:color w:val="auto"/>
          <w:spacing w:val="0"/>
          <w:sz w:val="28"/>
          <w:szCs w:val="28"/>
          <w:highlight w:val="none"/>
          <w:u w:val="none"/>
          <w:shd w:val="clear" w:fill="FFFFFF"/>
          <w:vertAlign w:val="baseline"/>
          <w:lang w:eastAsia="zh-CN"/>
        </w:rPr>
        <w:t>（</w:t>
      </w:r>
      <w:r>
        <w:rPr>
          <w:rFonts w:hint="eastAsia" w:ascii="宋体" w:hAnsi="宋体" w:eastAsia="宋体" w:cs="宋体"/>
          <w:i w:val="0"/>
          <w:iCs w:val="0"/>
          <w:caps w:val="0"/>
          <w:color w:val="auto"/>
          <w:spacing w:val="0"/>
          <w:sz w:val="28"/>
          <w:szCs w:val="28"/>
          <w:highlight w:val="none"/>
          <w:u w:val="none"/>
          <w:shd w:val="clear" w:fill="FFFFFF"/>
          <w:vertAlign w:val="baseline"/>
          <w:lang w:val="en-US" w:eastAsia="zh-CN"/>
        </w:rPr>
        <w:t>附上打分的标准及规则</w:t>
      </w:r>
      <w:r>
        <w:rPr>
          <w:rFonts w:hint="eastAsia" w:ascii="宋体" w:hAnsi="宋体" w:eastAsia="宋体" w:cs="宋体"/>
          <w:i w:val="0"/>
          <w:iCs w:val="0"/>
          <w:caps w:val="0"/>
          <w:color w:val="auto"/>
          <w:spacing w:val="0"/>
          <w:sz w:val="28"/>
          <w:szCs w:val="28"/>
          <w:highlight w:val="none"/>
          <w:u w:val="none"/>
          <w:shd w:val="clear" w:fill="FFFFFF"/>
          <w:vertAlign w:val="baseline"/>
          <w:lang w:eastAsia="zh-CN"/>
        </w:rPr>
        <w:t>）</w:t>
      </w:r>
    </w:p>
    <w:p>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bidi="zh-CN"/>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5"/>
        <w:spacing w:line="380" w:lineRule="exact"/>
        <w:rPr>
          <w:rFonts w:hint="eastAsia" w:ascii="宋体" w:hAnsi="宋体" w:eastAsia="宋体" w:cs="宋体"/>
          <w:color w:val="auto"/>
          <w:highlight w:val="none"/>
        </w:rPr>
      </w:pPr>
      <w:bookmarkStart w:id="0" w:name="_Toc13168"/>
      <w:bookmarkStart w:id="1" w:name="_Toc152045590"/>
      <w:bookmarkStart w:id="2" w:name="_Toc179632608"/>
      <w:bookmarkStart w:id="3" w:name="_Toc369951717"/>
      <w:bookmarkStart w:id="4" w:name="_Toc152042367"/>
      <w:bookmarkStart w:id="5" w:name="_Toc144974557"/>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 评审标准</w:t>
      </w:r>
      <w:bookmarkEnd w:id="0"/>
      <w:bookmarkEnd w:id="1"/>
      <w:bookmarkEnd w:id="2"/>
      <w:bookmarkEnd w:id="3"/>
      <w:bookmarkEnd w:id="4"/>
      <w:bookmarkEnd w:id="5"/>
    </w:p>
    <w:p>
      <w:pPr>
        <w:pStyle w:val="46"/>
        <w:spacing w:line="380" w:lineRule="exact"/>
        <w:rPr>
          <w:rFonts w:hint="eastAsia" w:ascii="宋体" w:hAnsi="宋体" w:eastAsia="宋体" w:cs="宋体"/>
          <w:color w:val="auto"/>
          <w:highlight w:val="none"/>
        </w:rPr>
      </w:pPr>
      <w:bookmarkStart w:id="6" w:name="_Toc7104"/>
      <w:bookmarkStart w:id="7" w:name="_Toc369951718"/>
      <w:bookmarkStart w:id="8" w:name="_Toc152042368"/>
      <w:bookmarkStart w:id="9" w:name="_Toc179632609"/>
      <w:bookmarkStart w:id="10" w:name="_Toc144974558"/>
      <w:bookmarkStart w:id="11" w:name="_Toc152045591"/>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 初步评审标准</w:t>
      </w:r>
      <w:bookmarkEnd w:id="6"/>
      <w:bookmarkEnd w:id="7"/>
      <w:bookmarkEnd w:id="8"/>
      <w:bookmarkEnd w:id="9"/>
      <w:bookmarkEnd w:id="10"/>
      <w:bookmarkEnd w:id="11"/>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 资格评审标准：见评标办法</w:t>
      </w:r>
      <w:r>
        <w:rPr>
          <w:rFonts w:hint="eastAsia" w:ascii="宋体" w:hAnsi="宋体" w:eastAsia="宋体" w:cs="宋体"/>
          <w:color w:val="auto"/>
          <w:highlight w:val="none"/>
          <w:lang w:eastAsia="zh-CN"/>
        </w:rPr>
        <w:t>表</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形式评审标准：见评标办法</w:t>
      </w:r>
      <w:r>
        <w:rPr>
          <w:rFonts w:hint="eastAsia" w:ascii="宋体" w:hAnsi="宋体" w:eastAsia="宋体" w:cs="宋体"/>
          <w:color w:val="auto"/>
          <w:highlight w:val="none"/>
          <w:lang w:eastAsia="zh-CN"/>
        </w:rPr>
        <w:t>表</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响应性评审标准：见评标办法</w:t>
      </w:r>
      <w:r>
        <w:rPr>
          <w:rFonts w:hint="eastAsia" w:ascii="宋体" w:hAnsi="宋体" w:eastAsia="宋体" w:cs="宋体"/>
          <w:color w:val="auto"/>
          <w:highlight w:val="none"/>
          <w:lang w:eastAsia="zh-CN"/>
        </w:rPr>
        <w:t>表</w:t>
      </w:r>
      <w:r>
        <w:rPr>
          <w:rFonts w:hint="eastAsia" w:ascii="宋体" w:hAnsi="宋体" w:eastAsia="宋体" w:cs="宋体"/>
          <w:color w:val="auto"/>
          <w:highlight w:val="none"/>
        </w:rPr>
        <w:t>。</w:t>
      </w:r>
    </w:p>
    <w:p>
      <w:pPr>
        <w:pStyle w:val="46"/>
        <w:spacing w:line="380" w:lineRule="exact"/>
        <w:rPr>
          <w:rFonts w:hint="eastAsia" w:ascii="宋体" w:hAnsi="宋体" w:eastAsia="宋体" w:cs="宋体"/>
          <w:color w:val="auto"/>
          <w:highlight w:val="none"/>
        </w:rPr>
      </w:pPr>
      <w:bookmarkStart w:id="12" w:name="_Toc144974559"/>
      <w:bookmarkStart w:id="13" w:name="_Toc10873"/>
      <w:bookmarkStart w:id="14" w:name="_Toc152042369"/>
      <w:bookmarkStart w:id="15" w:name="_Toc369951719"/>
      <w:bookmarkStart w:id="16" w:name="_Toc179632610"/>
      <w:bookmarkStart w:id="17" w:name="_Toc152045592"/>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 详细评审标准</w:t>
      </w:r>
      <w:bookmarkEnd w:id="12"/>
      <w:bookmarkEnd w:id="13"/>
      <w:bookmarkEnd w:id="14"/>
      <w:bookmarkEnd w:id="15"/>
      <w:bookmarkEnd w:id="16"/>
      <w:bookmarkEnd w:id="17"/>
    </w:p>
    <w:p>
      <w:pPr>
        <w:spacing w:line="380" w:lineRule="exact"/>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见评标办法</w:t>
      </w:r>
      <w:r>
        <w:rPr>
          <w:rFonts w:hint="eastAsia" w:ascii="宋体" w:hAnsi="宋体" w:eastAsia="宋体" w:cs="宋体"/>
          <w:color w:val="auto"/>
          <w:highlight w:val="none"/>
          <w:lang w:eastAsia="zh-CN"/>
        </w:rPr>
        <w:t>表</w:t>
      </w:r>
      <w:r>
        <w:rPr>
          <w:rFonts w:hint="eastAsia" w:ascii="宋体" w:hAnsi="宋体" w:eastAsia="宋体" w:cs="宋体"/>
          <w:color w:val="auto"/>
          <w:highlight w:val="no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宋体" w:hAnsi="宋体" w:eastAsia="宋体" w:cs="宋体"/>
          <w:i w:val="0"/>
          <w:iCs w:val="0"/>
          <w:caps w:val="0"/>
          <w:color w:val="auto"/>
          <w:spacing w:val="0"/>
          <w:sz w:val="28"/>
          <w:szCs w:val="28"/>
          <w:highlight w:val="none"/>
          <w:u w:val="none"/>
          <w:shd w:val="clear" w:fill="FFFFFF"/>
          <w:vertAlign w:val="baseline"/>
          <w:lang w:eastAsia="zh-CN"/>
        </w:rPr>
      </w:pPr>
    </w:p>
    <w:p>
      <w:pPr>
        <w:tabs>
          <w:tab w:val="left" w:pos="1080"/>
        </w:tabs>
        <w:spacing w:line="360" w:lineRule="exact"/>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评标办法</w:t>
      </w:r>
      <w:r>
        <w:rPr>
          <w:rFonts w:hint="eastAsia" w:ascii="宋体" w:hAnsi="宋体" w:eastAsia="宋体" w:cs="宋体"/>
          <w:b/>
          <w:color w:val="auto"/>
          <w:sz w:val="24"/>
          <w:highlight w:val="none"/>
          <w:lang w:eastAsia="zh-CN"/>
        </w:rPr>
        <w:t>表</w:t>
      </w:r>
    </w:p>
    <w:tbl>
      <w:tblPr>
        <w:tblStyle w:val="22"/>
        <w:tblW w:w="5177" w:type="pc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8"/>
        <w:gridCol w:w="1279"/>
        <w:gridCol w:w="920"/>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序号</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评分</w:t>
            </w:r>
          </w:p>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内容</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分值</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1</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服务方案</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一档（1～10分）: 竞标人提供的服务方案及措施能基本保证项目质量，后续服务基本可行，基本符合采购要求；</w:t>
            </w:r>
          </w:p>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二档（11～20分）: 竞标人提供的服务方案及措施有利于确保项目质量，后续服务比较合理、可行，符合采购要求；</w:t>
            </w:r>
          </w:p>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三档（21～30分）: 竞标人提供的服务方案及措施明显有利于项目的实施，方案详细，针对性强，并能确保项目高质量、高效率完成，确保后续服务的响应及时、各项措施合理、可行，完全符合采购要求。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2</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 w:val="0"/>
                <w:bCs/>
                <w:sz w:val="24"/>
                <w:szCs w:val="24"/>
                <w:lang w:val="en-US" w:eastAsia="zh-CN"/>
              </w:rPr>
              <w:t>响应服务时间</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pStyle w:val="27"/>
              <w:keepNext w:val="0"/>
              <w:keepLines w:val="0"/>
              <w:suppressLineNumbers w:val="0"/>
              <w:spacing w:beforeAutospacing="0" w:afterAutospacing="0"/>
              <w:ind w:left="0" w:leftChars="0" w:right="0" w:firstLine="0" w:firstLineChars="0"/>
              <w:rPr>
                <w:rFonts w:hint="eastAsia" w:ascii="宋体" w:hAnsi="宋体" w:eastAsia="宋体" w:cs="宋体"/>
                <w:lang w:val="en-US" w:eastAsia="zh-CN"/>
              </w:rPr>
            </w:pPr>
            <w:r>
              <w:rPr>
                <w:rFonts w:hint="eastAsia" w:ascii="宋体" w:hAnsi="宋体" w:eastAsia="宋体" w:cs="宋体"/>
                <w:b w:val="0"/>
                <w:bCs/>
                <w:sz w:val="24"/>
                <w:szCs w:val="24"/>
                <w:lang w:val="en-US" w:eastAsia="zh-CN"/>
              </w:rPr>
              <w:t>2小时内得30分，每增加1小时减3分；12小时或以上者不得分。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4"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Cs/>
                <w:kern w:val="2"/>
                <w:sz w:val="24"/>
                <w:szCs w:val="24"/>
                <w:lang w:val="en-US" w:eastAsia="zh-CN" w:bidi="ar"/>
              </w:rPr>
              <w:t>竞标报价</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宋体" w:hAnsi="宋体" w:eastAsia="宋体" w:cs="宋体"/>
                <w:b w:val="0"/>
                <w:bCs/>
                <w:kern w:val="2"/>
                <w:sz w:val="24"/>
                <w:szCs w:val="24"/>
                <w:lang w:val="en-US"/>
              </w:rPr>
            </w:pPr>
            <w:r>
              <w:rPr>
                <w:rFonts w:hint="eastAsia" w:ascii="宋体" w:hAnsi="宋体" w:eastAsia="宋体" w:cs="宋体"/>
                <w:b w:val="0"/>
                <w:bCs/>
                <w:kern w:val="2"/>
                <w:sz w:val="24"/>
                <w:szCs w:val="24"/>
                <w:lang w:val="en-US" w:eastAsia="zh-CN" w:bidi="ar"/>
              </w:rPr>
              <w:t>30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both"/>
              <w:rPr>
                <w:rFonts w:hint="default"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报价得分=（基准价/最后报价）×30</w:t>
            </w:r>
          </w:p>
          <w:p>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 w:val="0"/>
                <w:bCs/>
                <w:kern w:val="2"/>
                <w:sz w:val="24"/>
                <w:szCs w:val="24"/>
              </w:rPr>
            </w:pPr>
            <w:r>
              <w:rPr>
                <w:rFonts w:hint="eastAsia" w:ascii="宋体" w:hAnsi="宋体" w:eastAsia="宋体" w:cs="宋体"/>
                <w:bCs/>
                <w:kern w:val="2"/>
                <w:sz w:val="24"/>
                <w:szCs w:val="24"/>
                <w:lang w:val="en-US" w:eastAsia="zh-CN" w:bidi="ar"/>
              </w:rPr>
              <w:t>注：基准价是指经评审的供应商最低报价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4</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lang w:val="en-US"/>
              </w:rPr>
            </w:pPr>
            <w:r>
              <w:rPr>
                <w:rFonts w:hint="eastAsia" w:ascii="宋体" w:hAnsi="宋体" w:eastAsia="宋体" w:cs="宋体"/>
                <w:b w:val="0"/>
                <w:bCs/>
                <w:kern w:val="2"/>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合作经历</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highlight w:val="none"/>
                <w:lang w:val="en-US"/>
              </w:rPr>
            </w:pPr>
            <w:r>
              <w:rPr>
                <w:rFonts w:hint="eastAsia" w:ascii="宋体" w:hAnsi="宋体" w:eastAsia="宋体" w:cs="宋体"/>
                <w:b w:val="0"/>
                <w:bCs/>
                <w:kern w:val="2"/>
                <w:sz w:val="24"/>
                <w:szCs w:val="24"/>
                <w:highlight w:val="none"/>
                <w:lang w:val="en-US" w:eastAsia="zh-CN" w:bidi="ar"/>
              </w:rPr>
              <w:t>10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highlight w:val="none"/>
              </w:rPr>
            </w:pPr>
            <w:r>
              <w:rPr>
                <w:rFonts w:hint="eastAsia" w:ascii="宋体" w:hAnsi="宋体" w:eastAsia="宋体" w:cs="宋体"/>
                <w:i w:val="0"/>
                <w:iCs w:val="0"/>
                <w:color w:val="000000"/>
                <w:kern w:val="0"/>
                <w:sz w:val="24"/>
                <w:szCs w:val="24"/>
                <w:highlight w:val="none"/>
                <w:lang w:val="en-US" w:eastAsia="zh-CN" w:bidi="ar"/>
              </w:rPr>
              <w:t>有类似合同经历的得分，提供一份合作合同可得1分,满分6分，没有不得分。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5</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合计</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100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p>
        </w:tc>
      </w:tr>
    </w:tbl>
    <w:p>
      <w:pPr>
        <w:pStyle w:val="41"/>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第六章  响应文件格式</w:t>
      </w: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pPr>
        <w:rPr>
          <w:rFonts w:hint="eastAsia" w:ascii="宋体" w:hAnsi="宋体" w:eastAsia="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pPr>
        <w:rPr>
          <w:rFonts w:hint="eastAsia" w:ascii="宋体" w:hAnsi="宋体" w:eastAsia="宋体" w:cs="宋体"/>
          <w:b w:val="0"/>
          <w:bCs w:val="0"/>
          <w:color w:val="auto"/>
          <w:sz w:val="32"/>
          <w:szCs w:val="32"/>
          <w:highlight w:val="none"/>
          <w:lang w:val="en-US" w:eastAsia="zh-CN"/>
        </w:rPr>
      </w:pP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spacing w:line="360" w:lineRule="auto"/>
        <w:rPr>
          <w:rFonts w:hint="eastAsia" w:ascii="宋体" w:hAnsi="宋体" w:eastAsia="宋体" w:cs="宋体"/>
          <w:b w:val="0"/>
          <w:bCs w:val="0"/>
          <w:color w:val="auto"/>
          <w:sz w:val="32"/>
          <w:szCs w:val="32"/>
          <w:highlight w:val="none"/>
        </w:rPr>
      </w:pPr>
      <w:bookmarkStart w:id="18" w:name="_Toc31728084"/>
      <w:bookmarkStart w:id="19" w:name="_Toc30694"/>
      <w:bookmarkStart w:id="20" w:name="_Toc31723070"/>
      <w:bookmarkStart w:id="21" w:name="_Toc35611516"/>
      <w:bookmarkStart w:id="22" w:name="_Toc44229899"/>
      <w:bookmarkStart w:id="23" w:name="_Toc35611438"/>
      <w:r>
        <w:rPr>
          <w:rFonts w:hint="eastAsia" w:ascii="宋体" w:hAnsi="宋体" w:eastAsia="宋体" w:cs="宋体"/>
          <w:b w:val="0"/>
          <w:bCs w:val="0"/>
          <w:color w:val="auto"/>
          <w:sz w:val="32"/>
          <w:szCs w:val="32"/>
          <w:highlight w:val="none"/>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1.资格证明文件封面格式</w:t>
      </w:r>
    </w:p>
    <w:p>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leftChars="0" w:firstLine="0" w:firstLineChars="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6"/>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2.资格证明文件目录</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32"/>
          <w:szCs w:val="32"/>
          <w:highlight w:val="none"/>
        </w:rPr>
        <w:t>根据磋商文件规定及供应商提供的材料自行编写目录（部分格式后附）</w:t>
      </w:r>
      <w:r>
        <w:rPr>
          <w:rFonts w:hint="eastAsia" w:ascii="宋体" w:hAnsi="宋体" w:eastAsia="宋体" w:cs="宋体"/>
          <w:color w:val="auto"/>
          <w:highlight w:val="none"/>
        </w:rPr>
        <w:t>。</w:t>
      </w:r>
    </w:p>
    <w:p>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val="en-US" w:eastAsia="zh-CN"/>
        </w:rPr>
        <w:t>资格证明</w:t>
      </w:r>
    </w:p>
    <w:p>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（如营业执照、事业单位法人证书、资质证书等）</w:t>
      </w:r>
    </w:p>
    <w:p>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竞标声明</w:t>
      </w:r>
    </w:p>
    <w:p>
      <w:pPr>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pPr>
        <w:pStyle w:val="5"/>
        <w:rPr>
          <w:rFonts w:hint="eastAsia" w:ascii="宋体" w:hAnsi="宋体" w:eastAsia="宋体" w:cs="宋体"/>
          <w:color w:val="auto"/>
          <w:sz w:val="28"/>
          <w:szCs w:val="28"/>
          <w:highlight w:val="none"/>
        </w:rPr>
      </w:pPr>
    </w:p>
    <w:p>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r>
        <w:rPr>
          <w:rFonts w:hint="eastAsia" w:ascii="宋体" w:hAnsi="宋体" w:eastAsia="宋体" w:cs="宋体"/>
          <w:b w:val="0"/>
          <w:bCs w:val="0"/>
          <w:color w:val="auto"/>
          <w:sz w:val="32"/>
          <w:szCs w:val="32"/>
          <w:highlight w:val="none"/>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2" w:char="00A3"/>
      </w:r>
      <w:r>
        <w:rPr>
          <w:rFonts w:hint="eastAsia" w:ascii="宋体" w:hAnsi="宋体" w:eastAsia="宋体" w:cs="宋体"/>
          <w:b w:val="0"/>
          <w:bCs w:val="0"/>
          <w:color w:val="auto"/>
          <w:sz w:val="28"/>
          <w:szCs w:val="28"/>
          <w:highlight w:val="none"/>
          <w:u w:val="single"/>
          <w:lang w:val="en-US" w:eastAsia="zh-CN"/>
        </w:rPr>
        <w:t>法定代表人/□负责人/□自然人本人）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leftChars="0" w:firstLine="0" w:firstLineChars="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供应商名称：</w:t>
      </w:r>
    </w:p>
    <w:p>
      <w:pPr>
        <w:pStyle w:val="6"/>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rPr>
          <w:rFonts w:hint="eastAsia" w:ascii="宋体" w:hAnsi="宋体" w:eastAsia="宋体" w:cs="宋体"/>
          <w:color w:val="auto"/>
          <w:highlight w:val="none"/>
          <w:lang w:val="en-US" w:eastAsia="zh-CN"/>
        </w:rPr>
      </w:pPr>
      <w:r>
        <w:rPr>
          <w:rFonts w:hint="eastAsia" w:ascii="宋体" w:hAnsi="宋体" w:eastAsia="宋体" w:cs="宋体"/>
          <w:color w:val="auto"/>
          <w:sz w:val="32"/>
          <w:szCs w:val="32"/>
          <w:highlight w:val="none"/>
        </w:rPr>
        <w:br w:type="page"/>
      </w:r>
    </w:p>
    <w:p>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根据采购文件竞标报价表</w:t>
      </w:r>
      <w:r>
        <w:rPr>
          <w:rFonts w:hint="eastAsia" w:ascii="宋体" w:hAnsi="宋体" w:eastAsia="宋体" w:cs="宋体"/>
          <w:b w:val="0"/>
          <w:bCs w:val="0"/>
          <w:color w:val="auto"/>
          <w:sz w:val="32"/>
          <w:szCs w:val="32"/>
          <w:highlight w:val="none"/>
          <w:lang w:eastAsia="zh-CN"/>
        </w:rPr>
        <w:t>来报价</w:t>
      </w:r>
      <w:r>
        <w:rPr>
          <w:rFonts w:hint="eastAsia" w:ascii="宋体" w:hAnsi="宋体" w:eastAsia="宋体" w:cs="宋体"/>
          <w:b w:val="0"/>
          <w:bCs w:val="0"/>
          <w:color w:val="auto"/>
          <w:sz w:val="32"/>
          <w:szCs w:val="32"/>
          <w:highlight w:val="none"/>
          <w:lang w:val="en-US" w:eastAsia="zh-CN"/>
        </w:rPr>
        <w:t>。</w:t>
      </w:r>
    </w:p>
    <w:p>
      <w:pP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竞标报价表</w:t>
      </w:r>
    </w:p>
    <w:p>
      <w:pPr>
        <w:rPr>
          <w:rFonts w:hint="eastAsia" w:ascii="宋体" w:hAnsi="宋体" w:eastAsia="宋体" w:cs="宋体"/>
          <w:b w:val="0"/>
          <w:bCs w:val="0"/>
          <w:color w:val="auto"/>
          <w:sz w:val="28"/>
          <w:szCs w:val="28"/>
          <w:highlight w:val="none"/>
          <w:lang w:val="en-US" w:eastAsia="zh-CN"/>
        </w:rPr>
      </w:pPr>
    </w:p>
    <w:tbl>
      <w:tblPr>
        <w:tblStyle w:val="21"/>
        <w:tblW w:w="5380" w:type="pct"/>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6"/>
        <w:gridCol w:w="880"/>
        <w:gridCol w:w="1105"/>
        <w:gridCol w:w="2645"/>
        <w:gridCol w:w="936"/>
        <w:gridCol w:w="768"/>
        <w:gridCol w:w="852"/>
        <w:gridCol w:w="803"/>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2"/>
                <w:szCs w:val="22"/>
              </w:rPr>
            </w:pPr>
            <w:r>
              <w:rPr>
                <w:rFonts w:hint="eastAsia" w:ascii="宋体" w:hAnsi="宋体" w:eastAsia="宋体" w:cs="宋体"/>
                <w:color w:val="auto"/>
                <w:sz w:val="24"/>
                <w:szCs w:val="24"/>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2"/>
                <w:szCs w:val="22"/>
              </w:rPr>
            </w:pPr>
            <w:r>
              <w:rPr>
                <w:rFonts w:hint="eastAsia" w:ascii="宋体" w:hAnsi="宋体" w:eastAsia="宋体" w:cs="宋体"/>
                <w:color w:val="auto"/>
                <w:sz w:val="24"/>
                <w:szCs w:val="24"/>
              </w:rPr>
              <w:t>货物名称</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top"/>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2"/>
                <w:szCs w:val="22"/>
              </w:rPr>
            </w:pPr>
            <w:r>
              <w:rPr>
                <w:rFonts w:hint="eastAsia" w:ascii="宋体" w:hAnsi="宋体" w:eastAsia="宋体" w:cs="宋体"/>
                <w:color w:val="auto"/>
                <w:sz w:val="24"/>
                <w:szCs w:val="24"/>
              </w:rPr>
              <w:t>参考品牌、型号规格</w:t>
            </w: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2"/>
                <w:szCs w:val="22"/>
              </w:rPr>
            </w:pPr>
            <w:r>
              <w:rPr>
                <w:rFonts w:hint="eastAsia" w:ascii="宋体" w:hAnsi="宋体" w:eastAsia="宋体" w:cs="宋体"/>
                <w:color w:val="auto"/>
                <w:sz w:val="24"/>
                <w:szCs w:val="24"/>
              </w:rPr>
              <w:t>技术参数、要求</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2"/>
                <w:szCs w:val="22"/>
              </w:rPr>
            </w:pPr>
            <w:r>
              <w:rPr>
                <w:rFonts w:hint="eastAsia" w:ascii="宋体" w:hAnsi="宋体" w:eastAsia="宋体" w:cs="宋体"/>
                <w:color w:val="auto"/>
                <w:sz w:val="24"/>
                <w:szCs w:val="24"/>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2"/>
                <w:szCs w:val="22"/>
              </w:rPr>
            </w:pPr>
            <w:r>
              <w:rPr>
                <w:rFonts w:hint="eastAsia" w:ascii="宋体" w:hAnsi="宋体" w:eastAsia="宋体" w:cs="宋体"/>
                <w:color w:val="auto"/>
                <w:sz w:val="24"/>
                <w:szCs w:val="24"/>
              </w:rPr>
              <w:t>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单价（元）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总价（元）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803" w:type="dxa"/>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1091" w:type="dxa"/>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852" w:type="dxa"/>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eastAsia="zh-CN"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eastAsia="zh-CN" w:bidi="ar"/>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含税金额总计</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bl>
    <w:p>
      <w:pPr>
        <w:rPr>
          <w:rFonts w:hint="eastAsia" w:ascii="宋体" w:hAnsi="宋体" w:eastAsia="宋体" w:cs="宋体"/>
          <w:b w:val="0"/>
          <w:bCs w:val="0"/>
          <w:color w:val="auto"/>
          <w:sz w:val="28"/>
          <w:szCs w:val="28"/>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p>
    <w:p>
      <w:pPr>
        <w:pStyle w:val="4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第七章  拟签订的合同文本</w:t>
      </w:r>
    </w:p>
    <w:p>
      <w:pPr>
        <w:pStyle w:val="13"/>
        <w:spacing w:line="360" w:lineRule="auto"/>
        <w:jc w:val="center"/>
        <w:outlineLvl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恒通钧达散杂货码头海事、边检视频监控系统安装项目</w:t>
      </w: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ageBreakBefore w:val="0"/>
        <w:kinsoku/>
        <w:wordWrap/>
        <w:overflowPunct/>
        <w:topLinePunct w:val="0"/>
        <w:autoSpaceDE/>
        <w:autoSpaceDN/>
        <w:bidi w:val="0"/>
        <w:adjustRightInd/>
        <w:spacing w:line="500" w:lineRule="exact"/>
        <w:ind w:firstLine="1741" w:firstLineChars="542"/>
        <w:jc w:val="both"/>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采购单位：</w:t>
      </w:r>
      <w:r>
        <w:rPr>
          <w:rFonts w:hint="eastAsia" w:ascii="宋体" w:hAnsi="宋体" w:eastAsia="宋体" w:cs="宋体"/>
          <w:b/>
          <w:bCs/>
          <w:color w:val="auto"/>
          <w:sz w:val="32"/>
          <w:szCs w:val="32"/>
          <w:highlight w:val="none"/>
          <w:u w:val="single"/>
          <w:lang w:eastAsia="zh-CN"/>
        </w:rPr>
        <w:t>广西钦州恒通货柜码头仓储有限公司</w:t>
      </w:r>
    </w:p>
    <w:p>
      <w:pPr>
        <w:pageBreakBefore w:val="0"/>
        <w:kinsoku/>
        <w:wordWrap/>
        <w:overflowPunct/>
        <w:topLinePunct w:val="0"/>
        <w:autoSpaceDE/>
        <w:autoSpaceDN/>
        <w:bidi w:val="0"/>
        <w:adjustRightInd/>
        <w:spacing w:line="500" w:lineRule="exact"/>
        <w:ind w:firstLine="1741" w:firstLineChars="542"/>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 应 商：</w:t>
      </w:r>
    </w:p>
    <w:p>
      <w:pPr>
        <w:pageBreakBefore w:val="0"/>
        <w:kinsoku/>
        <w:wordWrap/>
        <w:overflowPunct/>
        <w:topLinePunct w:val="0"/>
        <w:autoSpaceDE/>
        <w:autoSpaceDN/>
        <w:bidi w:val="0"/>
        <w:adjustRightInd/>
        <w:spacing w:line="500" w:lineRule="exact"/>
        <w:ind w:firstLine="1741" w:firstLineChars="542"/>
        <w:jc w:val="both"/>
        <w:rPr>
          <w:rFonts w:hint="eastAsia" w:ascii="宋体" w:hAnsi="宋体" w:eastAsia="宋体" w:cs="宋体"/>
          <w:szCs w:val="21"/>
          <w:u w:val="single"/>
          <w:lang w:val="en-US" w:eastAsia="zh-CN"/>
        </w:rPr>
      </w:pPr>
      <w:r>
        <w:rPr>
          <w:rFonts w:hint="eastAsia" w:ascii="宋体" w:hAnsi="宋体" w:eastAsia="宋体" w:cs="宋体"/>
          <w:b/>
          <w:bCs/>
          <w:color w:val="auto"/>
          <w:sz w:val="32"/>
          <w:szCs w:val="32"/>
          <w:highlight w:val="none"/>
        </w:rPr>
        <w:t>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 xml:space="preserve">   期：</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年    月     日</w:t>
      </w:r>
      <w:r>
        <w:rPr>
          <w:rFonts w:hint="eastAsia" w:ascii="宋体" w:hAnsi="宋体" w:eastAsia="宋体" w:cs="宋体"/>
          <w:color w:val="auto"/>
          <w:sz w:val="22"/>
          <w:szCs w:val="24"/>
          <w:highlight w:val="none"/>
        </w:rPr>
        <w:br w:type="page"/>
      </w:r>
      <w:r>
        <w:rPr>
          <w:rFonts w:hint="eastAsia" w:ascii="宋体" w:hAnsi="宋体" w:eastAsia="宋体" w:cs="宋体"/>
          <w:szCs w:val="21"/>
        </w:rPr>
        <w:t>采购单位（甲方）</w:t>
      </w:r>
      <w:r>
        <w:rPr>
          <w:rFonts w:hint="eastAsia" w:ascii="宋体" w:hAnsi="宋体" w:eastAsia="宋体" w:cs="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u w:val="single"/>
          <w:lang w:val="en-US" w:eastAsia="zh-CN"/>
        </w:rPr>
      </w:pPr>
      <w:r>
        <w:rPr>
          <w:rFonts w:hint="eastAsia" w:ascii="宋体" w:hAnsi="宋体" w:eastAsia="宋体" w:cs="宋体"/>
          <w:szCs w:val="21"/>
        </w:rPr>
        <w:t>供 应 商（乙方）</w:t>
      </w:r>
      <w:r>
        <w:rPr>
          <w:rFonts w:hint="eastAsia" w:ascii="宋体" w:hAnsi="宋体" w:eastAsia="宋体" w:cs="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u w:val="single"/>
          <w:lang w:val="en-US" w:eastAsia="zh-CN"/>
        </w:rPr>
      </w:pPr>
      <w:r>
        <w:rPr>
          <w:rFonts w:hint="eastAsia" w:ascii="宋体" w:hAnsi="宋体" w:eastAsia="宋体" w:cs="宋体"/>
          <w:szCs w:val="21"/>
        </w:rPr>
        <w:t>项目名称和编号</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u w:val="single"/>
          <w:lang w:val="en-US" w:eastAsia="zh-CN"/>
        </w:rPr>
      </w:pPr>
      <w:r>
        <w:rPr>
          <w:rFonts w:hint="eastAsia" w:ascii="宋体" w:hAnsi="宋体" w:eastAsia="宋体" w:cs="宋体"/>
          <w:szCs w:val="21"/>
        </w:rPr>
        <w:t xml:space="preserve">签  订  地  点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 w:val="18"/>
          <w:szCs w:val="18"/>
        </w:rPr>
      </w:pPr>
      <w:r>
        <w:rPr>
          <w:rFonts w:hint="eastAsia" w:ascii="宋体" w:hAnsi="宋体" w:eastAsia="宋体" w:cs="宋体"/>
          <w:szCs w:val="21"/>
        </w:rPr>
        <w:t>签 订 时 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日</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根据《中华人民共和国政府采购法》、《中华人民共和国民法典》等法律、法规规定，按照双方协商结果和双方承诺，甲乙双方签订本合同，以供遵守。</w:t>
      </w:r>
    </w:p>
    <w:p>
      <w:pPr>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bookmarkStart w:id="24" w:name="OLE_LINK3"/>
      <w:r>
        <w:rPr>
          <w:rFonts w:hint="eastAsia" w:ascii="宋体" w:hAnsi="宋体" w:eastAsia="宋体" w:cs="宋体"/>
          <w:b/>
          <w:szCs w:val="21"/>
        </w:rPr>
        <w:t>合同标的</w:t>
      </w: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rPr>
      </w:pPr>
      <w:r>
        <w:rPr>
          <w:rFonts w:hint="eastAsia" w:ascii="宋体" w:hAnsi="宋体" w:eastAsia="宋体" w:cs="宋体"/>
          <w:szCs w:val="21"/>
        </w:rPr>
        <w:t>1、供货一览表（以下简称货物）</w:t>
      </w:r>
    </w:p>
    <w:tbl>
      <w:tblPr>
        <w:tblStyle w:val="21"/>
        <w:tblpPr w:leftFromText="180" w:rightFromText="180" w:vertAnchor="text" w:horzAnchor="page" w:tblpX="1352" w:tblpY="414"/>
        <w:tblOverlap w:val="never"/>
        <w:tblW w:w="9900" w:type="dxa"/>
        <w:tblInd w:w="0" w:type="dxa"/>
        <w:shd w:val="clear" w:color="auto" w:fill="auto"/>
        <w:tblLayout w:type="fixed"/>
        <w:tblCellMar>
          <w:top w:w="0" w:type="dxa"/>
          <w:left w:w="108" w:type="dxa"/>
          <w:bottom w:w="0" w:type="dxa"/>
          <w:right w:w="108" w:type="dxa"/>
        </w:tblCellMar>
      </w:tblPr>
      <w:tblGrid>
        <w:gridCol w:w="672"/>
        <w:gridCol w:w="753"/>
        <w:gridCol w:w="1137"/>
        <w:gridCol w:w="3795"/>
        <w:gridCol w:w="630"/>
        <w:gridCol w:w="555"/>
        <w:gridCol w:w="841"/>
        <w:gridCol w:w="911"/>
        <w:gridCol w:w="606"/>
      </w:tblGrid>
      <w:tr>
        <w:tblPrEx>
          <w:shd w:val="clear" w:color="auto" w:fill="auto"/>
          <w:tblCellMar>
            <w:top w:w="0" w:type="dxa"/>
            <w:left w:w="108" w:type="dxa"/>
            <w:bottom w:w="0" w:type="dxa"/>
            <w:right w:w="108" w:type="dxa"/>
          </w:tblCellMar>
        </w:tblPrEx>
        <w:trPr>
          <w:trHeight w:val="55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24"/>
                <w:szCs w:val="24"/>
              </w:rPr>
              <w:t>序号</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24"/>
                <w:szCs w:val="24"/>
              </w:rPr>
              <w:t>货物名称</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24"/>
                <w:szCs w:val="24"/>
              </w:rPr>
              <w:t>参考品牌、型号规格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4"/>
                <w:szCs w:val="24"/>
              </w:rPr>
              <w:t>技术参数、要求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24"/>
                <w:szCs w:val="24"/>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24"/>
                <w:szCs w:val="24"/>
              </w:rPr>
              <w:t>单位</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2"/>
                <w:szCs w:val="22"/>
                <w:lang w:val="en-US" w:eastAsia="zh-CN" w:bidi="ar"/>
              </w:rPr>
              <w:t>单价（元）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2"/>
                <w:szCs w:val="22"/>
                <w:lang w:val="en-US" w:eastAsia="zh-CN" w:bidi="ar"/>
              </w:rPr>
              <w:t>总价（元）</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2"/>
                <w:szCs w:val="22"/>
                <w:lang w:val="en-US" w:eastAsia="zh-CN" w:bidi="ar"/>
              </w:rPr>
              <w:t>备注</w:t>
            </w:r>
          </w:p>
        </w:tc>
      </w:tr>
      <w:tr>
        <w:tblPrEx>
          <w:tblCellMar>
            <w:top w:w="0" w:type="dxa"/>
            <w:left w:w="108" w:type="dxa"/>
            <w:bottom w:w="0" w:type="dxa"/>
            <w:right w:w="108" w:type="dxa"/>
          </w:tblCellMar>
        </w:tblPrEx>
        <w:trPr>
          <w:trHeight w:val="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1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05" w:hRule="atLeast"/>
        </w:trPr>
        <w:tc>
          <w:tcPr>
            <w:tcW w:w="83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含税金额合计：</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keepNext w:val="0"/>
        <w:keepLines w:val="0"/>
        <w:pageBreakBefore w:val="0"/>
        <w:kinsoku/>
        <w:wordWrap/>
        <w:overflowPunct/>
        <w:topLinePunct w:val="0"/>
        <w:autoSpaceDE/>
        <w:autoSpaceDN/>
        <w:bidi w:val="0"/>
        <w:adjustRightInd/>
        <w:snapToGrid w:val="0"/>
        <w:spacing w:line="460" w:lineRule="exact"/>
        <w:ind w:right="42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合同总金额：人民币（大写）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(小写)￥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p>
      <w:pPr>
        <w:keepNext w:val="0"/>
        <w:keepLines w:val="0"/>
        <w:pageBreakBefore w:val="0"/>
        <w:kinsoku/>
        <w:wordWrap/>
        <w:overflowPunct/>
        <w:topLinePunct w:val="0"/>
        <w:autoSpaceDE/>
        <w:autoSpaceDN/>
        <w:bidi w:val="0"/>
        <w:adjustRightInd/>
        <w:snapToGrid w:val="0"/>
        <w:spacing w:line="460" w:lineRule="exact"/>
        <w:ind w:right="420"/>
        <w:jc w:val="left"/>
        <w:textAlignment w:val="auto"/>
        <w:rPr>
          <w:rFonts w:hint="eastAsia" w:ascii="宋体" w:hAnsi="宋体" w:eastAsia="宋体" w:cs="宋体"/>
          <w:szCs w:val="21"/>
        </w:rPr>
      </w:pPr>
      <w:r>
        <w:rPr>
          <w:rFonts w:hint="eastAsia" w:ascii="宋体" w:hAnsi="宋体" w:eastAsia="宋体" w:cs="宋体"/>
          <w:szCs w:val="21"/>
        </w:rPr>
        <w:t>2、合同合计金额包括货物价款，专用工具、安装、调试、技术培训及技术资料和包装、运输、税费等全部费用。</w:t>
      </w:r>
    </w:p>
    <w:bookmarkEnd w:id="24"/>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szCs w:val="21"/>
        </w:rPr>
      </w:pPr>
      <w:r>
        <w:rPr>
          <w:rFonts w:hint="eastAsia" w:ascii="宋体" w:hAnsi="宋体" w:eastAsia="宋体" w:cs="宋体"/>
          <w:b/>
          <w:szCs w:val="21"/>
        </w:rPr>
        <w:t>第二条　质量保证</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1、乙方所提供的货物型号、技术规格、技术参数等质量必须与甲、乙方协商和承诺相一致。</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2、乙方所提供的货物必须是全新、未使用的原装产品，且在正常安装、使用和保养条件下，其使用寿命期内各项指标均达到质量要求。</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3、如货物不符合质量要求的，甲方有权拒绝接受。</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szCs w:val="21"/>
        </w:rPr>
      </w:pPr>
      <w:r>
        <w:rPr>
          <w:rFonts w:hint="eastAsia" w:ascii="宋体" w:hAnsi="宋体" w:eastAsia="宋体" w:cs="宋体"/>
          <w:b/>
          <w:szCs w:val="21"/>
        </w:rPr>
        <w:t>第三条　权利保证</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1、乙方应保证所提供货物在使用时不会侵犯任何第三方的专利权、商标权、工业设计权或其他权利。</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2、乙方应按国家电子设备相关制度规定向甲方提供使用货物的有关技术资料。</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15"/>
        </w:rPr>
        <w:t>3、</w:t>
      </w:r>
      <w:r>
        <w:rPr>
          <w:rFonts w:hint="eastAsia" w:ascii="宋体" w:hAnsi="宋体" w:eastAsia="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4、乙方保证所交付的货物的所有权完全属于乙方且无任何抵押、质押、查封等产权瑕疵。5、5、乙方如违反上述任一保证条款的，甲方有权单方解除合同并要求甲方支付相当于合同总价30%的违约金，退回全部费用。如因此还造成甲方损失的，乙方还应赔偿甲方损失。</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第四条　包装和运输</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1、乙方提供的货物均应按合同文件要求的包装材料、包装标准、包装方式进行包装，每一包装单元内应附详细的装箱单和质量合格证。</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2、货物的运输方式：</w:t>
      </w:r>
      <w:r>
        <w:rPr>
          <w:rFonts w:hint="eastAsia" w:ascii="宋体" w:hAnsi="宋体" w:eastAsia="宋体" w:cs="宋体"/>
          <w:szCs w:val="21"/>
          <w:u w:val="single"/>
        </w:rPr>
        <w:t xml:space="preserve"> 乙方负责货物运输 </w:t>
      </w:r>
      <w:r>
        <w:rPr>
          <w:rFonts w:hint="eastAsia" w:ascii="宋体" w:hAnsi="宋体" w:eastAsia="宋体" w:cs="宋体"/>
          <w:szCs w:val="21"/>
        </w:rPr>
        <w:t>。</w:t>
      </w:r>
    </w:p>
    <w:p>
      <w:pPr>
        <w:pStyle w:val="18"/>
        <w:keepNext w:val="0"/>
        <w:keepLines w:val="0"/>
        <w:pageBreakBefore w:val="0"/>
        <w:widowControl/>
        <w:kinsoku/>
        <w:wordWrap/>
        <w:overflowPunct/>
        <w:topLinePunct w:val="0"/>
        <w:autoSpaceDE/>
        <w:autoSpaceDN/>
        <w:bidi w:val="0"/>
        <w:adjustRightInd/>
        <w:spacing w:line="460" w:lineRule="exact"/>
        <w:textAlignment w:val="auto"/>
        <w:rPr>
          <w:rFonts w:hint="eastAsia" w:ascii="宋体" w:hAnsi="宋体" w:eastAsia="宋体" w:cs="宋体"/>
          <w:sz w:val="21"/>
          <w:szCs w:val="21"/>
          <w:u w:val="single"/>
        </w:rPr>
      </w:pPr>
      <w:r>
        <w:rPr>
          <w:rFonts w:hint="eastAsia" w:ascii="宋体" w:hAnsi="宋体" w:eastAsia="宋体" w:cs="宋体"/>
          <w:sz w:val="21"/>
          <w:szCs w:val="21"/>
        </w:rPr>
        <w:t>3、</w:t>
      </w:r>
      <w:bookmarkStart w:id="25" w:name="OLE_LINK7"/>
      <w:r>
        <w:rPr>
          <w:rFonts w:hint="eastAsia" w:ascii="宋体" w:hAnsi="宋体" w:eastAsia="宋体" w:cs="宋体"/>
          <w:sz w:val="21"/>
          <w:szCs w:val="21"/>
        </w:rPr>
        <w:t>乙方负责承担货物运输费用和</w:t>
      </w:r>
      <w:bookmarkEnd w:id="25"/>
      <w:r>
        <w:rPr>
          <w:rFonts w:hint="eastAsia" w:ascii="宋体" w:hAnsi="宋体" w:eastAsia="宋体" w:cs="宋体"/>
          <w:sz w:val="21"/>
          <w:szCs w:val="21"/>
        </w:rPr>
        <w:t>运输风险。</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szCs w:val="21"/>
        </w:rPr>
      </w:pPr>
      <w:r>
        <w:rPr>
          <w:rFonts w:hint="eastAsia" w:ascii="宋体" w:hAnsi="宋体" w:eastAsia="宋体" w:cs="宋体"/>
          <w:b/>
          <w:szCs w:val="21"/>
        </w:rPr>
        <w:t>第五条　交付和验收</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1、交货时间：</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日 </w:t>
      </w:r>
      <w:r>
        <w:rPr>
          <w:rFonts w:hint="eastAsia" w:ascii="宋体" w:hAnsi="宋体" w:eastAsia="宋体" w:cs="宋体"/>
          <w:szCs w:val="21"/>
        </w:rPr>
        <w:t>，合同工期为15个工作日,地点：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。甲方应在乙方货物送达后当场接收，货物的灭失及损失风险在乙方送达后即转移到甲方。</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2、乙方提供不符合本合同规定的货物，甲方有权拒绝接受；甲方拒绝接受的，乙方应更换，但交付日期不因此顺延。</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3、乙方应将所提供货物的装箱清单、用户手册、原厂保修卡、随机资料、工具和备品、备件等交付给甲方，如有缺失应及时补齐，否则视为逾期交货。</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4、甲方应当在到货（安装、调试完）后七个工作日内进行验收，逾期不验收的，乙方可视同验收合格。验收合格后由甲乙双方签署货物验收单并加盖采购单位公章，甲乙双方各执一份。</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5、项目完毕后，其验收时间以</w:t>
      </w:r>
      <w:r>
        <w:rPr>
          <w:rFonts w:hint="eastAsia" w:ascii="宋体" w:hAnsi="宋体" w:eastAsia="宋体" w:cs="宋体"/>
          <w:bCs/>
          <w:kern w:val="0"/>
          <w:szCs w:val="21"/>
        </w:rPr>
        <w:t>通过甲乙双方验收</w:t>
      </w:r>
      <w:r>
        <w:rPr>
          <w:rFonts w:hint="eastAsia" w:ascii="宋体" w:hAnsi="宋体" w:eastAsia="宋体" w:cs="宋体"/>
          <w:szCs w:val="21"/>
        </w:rPr>
        <w:t>为准。在验收过程中发现乙方有违约问题，可暂缓资金结算，待违约问题解决后，方可办理资金结算事宜，甲方付款时间顺延。</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6、甲方对验收有异议的，在验收后五个工作日内以书面形式向乙方提出，乙方应自收到甲方书面异议后</w:t>
      </w:r>
      <w:r>
        <w:rPr>
          <w:rFonts w:hint="eastAsia" w:ascii="宋体" w:hAnsi="宋体" w:eastAsia="宋体" w:cs="宋体"/>
          <w:szCs w:val="21"/>
          <w:u w:val="single"/>
        </w:rPr>
        <w:t xml:space="preserve">7 </w:t>
      </w:r>
      <w:r>
        <w:rPr>
          <w:rFonts w:hint="eastAsia" w:ascii="宋体" w:hAnsi="宋体" w:eastAsia="宋体" w:cs="宋体"/>
          <w:szCs w:val="21"/>
        </w:rPr>
        <w:t>日内及时予以解决。双方对验收结果有异议的，由双方共同委托共同认可的第三方鉴定机构鉴定，如鉴定结果与验收结果相符的，鉴定费用由甲方承担，反之则由乙方承担。</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第六条　安装和培训</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1、甲方应提供必要安装条件（如场地、电源、水源等）。</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u w:val="single"/>
        </w:rPr>
      </w:pPr>
      <w:r>
        <w:rPr>
          <w:rFonts w:hint="eastAsia" w:ascii="宋体" w:hAnsi="宋体" w:eastAsia="宋体" w:cs="宋体"/>
          <w:szCs w:val="21"/>
        </w:rPr>
        <w:t>2、乙方负责甲方有关人员的培训。培训时间：双方协商确定，培训【8】小时；地点：</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第七条  售后服务、保修期</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1、乙方应按照国家有关法律法规和“三包”规定以及招投标文件和本合同所附的《服务承诺》，为甲方提供售后服务。</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u w:val="single"/>
        </w:rPr>
      </w:pPr>
      <w:r>
        <w:rPr>
          <w:rFonts w:hint="eastAsia" w:ascii="宋体" w:hAnsi="宋体" w:eastAsia="宋体" w:cs="宋体"/>
          <w:szCs w:val="21"/>
        </w:rPr>
        <w:t>2、货物保修起止时间；</w:t>
      </w:r>
      <w:r>
        <w:rPr>
          <w:rFonts w:hint="eastAsia" w:ascii="宋体" w:hAnsi="宋体" w:eastAsia="宋体" w:cs="宋体"/>
          <w:szCs w:val="21"/>
          <w:u w:val="single"/>
        </w:rPr>
        <w:t xml:space="preserve"> 验收合格之日起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年内 </w:t>
      </w:r>
      <w:r>
        <w:rPr>
          <w:rFonts w:hint="eastAsia" w:ascii="宋体" w:hAnsi="宋体" w:eastAsia="宋体" w:cs="宋体"/>
          <w:szCs w:val="21"/>
        </w:rPr>
        <w:t>。</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szCs w:val="21"/>
        </w:rPr>
      </w:pPr>
      <w:r>
        <w:rPr>
          <w:rFonts w:hint="eastAsia" w:ascii="宋体" w:hAnsi="宋体" w:eastAsia="宋体" w:cs="宋体"/>
          <w:b/>
          <w:szCs w:val="21"/>
        </w:rPr>
        <w:t>第八条　付款方式</w:t>
      </w:r>
    </w:p>
    <w:p>
      <w:pPr>
        <w:pStyle w:val="13"/>
        <w:keepNext w:val="0"/>
        <w:keepLines w:val="0"/>
        <w:pageBreakBefore w:val="0"/>
        <w:kinsoku/>
        <w:wordWrap/>
        <w:overflowPunct/>
        <w:topLinePunct w:val="0"/>
        <w:autoSpaceDE/>
        <w:autoSpaceDN/>
        <w:bidi w:val="0"/>
        <w:adjustRightInd/>
        <w:snapToGrid w:val="0"/>
        <w:spacing w:before="120" w:after="120" w:line="460" w:lineRule="exact"/>
        <w:jc w:val="left"/>
        <w:textAlignment w:val="auto"/>
        <w:rPr>
          <w:rFonts w:hint="eastAsia" w:ascii="宋体" w:hAnsi="宋体" w:eastAsia="宋体" w:cs="宋体"/>
          <w:bCs/>
          <w:sz w:val="21"/>
        </w:rPr>
      </w:pPr>
      <w:r>
        <w:rPr>
          <w:rFonts w:hint="eastAsia" w:ascii="宋体" w:hAnsi="宋体" w:eastAsia="宋体" w:cs="宋体"/>
          <w:bCs/>
          <w:sz w:val="21"/>
        </w:rPr>
        <w:t>1、当采购数量与实际使用数量不一致时，乙方应根据实际使用量供货，合同的最终结算金额按实际使用量乘以成交单价进行计算。</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u w:val="single"/>
        </w:rPr>
      </w:pPr>
      <w:r>
        <w:rPr>
          <w:rFonts w:hint="eastAsia" w:ascii="宋体" w:hAnsi="宋体" w:eastAsia="宋体" w:cs="宋体"/>
          <w:bCs/>
          <w:szCs w:val="21"/>
        </w:rPr>
        <w:t>2、</w:t>
      </w:r>
      <w:r>
        <w:rPr>
          <w:rFonts w:hint="eastAsia" w:ascii="宋体" w:hAnsi="宋体" w:eastAsia="宋体" w:cs="宋体"/>
          <w:szCs w:val="21"/>
        </w:rPr>
        <w:t>资金性质：</w:t>
      </w:r>
      <w:r>
        <w:rPr>
          <w:rFonts w:hint="eastAsia" w:ascii="宋体" w:hAnsi="宋体" w:eastAsia="宋体" w:cs="宋体"/>
          <w:szCs w:val="21"/>
          <w:u w:val="single"/>
        </w:rPr>
        <w:t>甲方自有资金</w:t>
      </w:r>
      <w:r>
        <w:rPr>
          <w:rFonts w:hint="eastAsia" w:ascii="宋体" w:hAnsi="宋体" w:eastAsia="宋体" w:cs="宋体"/>
          <w:szCs w:val="21"/>
        </w:rPr>
        <w:t>。</w:t>
      </w:r>
    </w:p>
    <w:p>
      <w:pPr>
        <w:keepNext w:val="0"/>
        <w:keepLines w:val="0"/>
        <w:pageBreakBefore w:val="0"/>
        <w:kinsoku/>
        <w:wordWrap/>
        <w:overflowPunct/>
        <w:topLinePunct w:val="0"/>
        <w:autoSpaceDE/>
        <w:autoSpaceDN/>
        <w:bidi w:val="0"/>
        <w:adjustRightInd/>
        <w:snapToGrid w:val="0"/>
        <w:spacing w:line="460" w:lineRule="exact"/>
        <w:ind w:right="33"/>
        <w:jc w:val="left"/>
        <w:textAlignment w:val="auto"/>
        <w:rPr>
          <w:rFonts w:hint="eastAsia" w:ascii="宋体" w:hAnsi="宋体" w:eastAsia="宋体" w:cs="宋体"/>
          <w:szCs w:val="21"/>
        </w:rPr>
      </w:pPr>
      <w:r>
        <w:rPr>
          <w:rFonts w:hint="eastAsia" w:ascii="宋体" w:hAnsi="宋体" w:eastAsia="宋体" w:cs="宋体"/>
          <w:szCs w:val="21"/>
        </w:rPr>
        <w:t>3、付款方式：</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50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9"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eastAsia" w:ascii="宋体" w:hAnsi="宋体" w:eastAsia="宋体" w:cs="宋体"/>
                <w:bCs/>
                <w:kern w:val="0"/>
                <w:szCs w:val="21"/>
              </w:rPr>
            </w:pPr>
            <w:r>
              <w:rPr>
                <w:rFonts w:hint="eastAsia" w:ascii="宋体" w:hAnsi="宋体" w:eastAsia="宋体" w:cs="宋体"/>
                <w:bCs/>
                <w:kern w:val="0"/>
                <w:szCs w:val="21"/>
              </w:rPr>
              <w:t>支付次数</w:t>
            </w:r>
          </w:p>
        </w:tc>
        <w:tc>
          <w:tcPr>
            <w:tcW w:w="5076"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eastAsia" w:ascii="宋体" w:hAnsi="宋体" w:eastAsia="宋体" w:cs="宋体"/>
                <w:bCs/>
                <w:kern w:val="0"/>
                <w:szCs w:val="21"/>
              </w:rPr>
            </w:pPr>
            <w:r>
              <w:rPr>
                <w:rFonts w:hint="eastAsia" w:ascii="宋体" w:hAnsi="宋体" w:eastAsia="宋体" w:cs="宋体"/>
                <w:bCs/>
                <w:kern w:val="0"/>
                <w:szCs w:val="21"/>
              </w:rPr>
              <w:t>支付条件</w:t>
            </w:r>
          </w:p>
        </w:tc>
        <w:tc>
          <w:tcPr>
            <w:tcW w:w="2268"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eastAsia" w:ascii="宋体" w:hAnsi="宋体" w:eastAsia="宋体" w:cs="宋体"/>
                <w:bCs/>
                <w:kern w:val="0"/>
                <w:szCs w:val="21"/>
              </w:rPr>
            </w:pPr>
            <w:r>
              <w:rPr>
                <w:rFonts w:hint="eastAsia" w:ascii="宋体" w:hAnsi="宋体" w:eastAsia="宋体" w:cs="宋体"/>
                <w:bCs/>
                <w:kern w:val="0"/>
                <w:szCs w:val="21"/>
              </w:rPr>
              <w:t>支付金额比例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69"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5076"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rPr>
                <w:rFonts w:hint="eastAsia" w:ascii="宋体" w:hAnsi="宋体" w:eastAsia="宋体" w:cs="宋体"/>
                <w:bCs/>
                <w:kern w:val="0"/>
                <w:sz w:val="21"/>
                <w:szCs w:val="21"/>
              </w:rPr>
            </w:pPr>
            <w:r>
              <w:rPr>
                <w:rFonts w:hint="eastAsia" w:ascii="宋体" w:hAnsi="宋体" w:eastAsia="宋体" w:cs="宋体"/>
                <w:color w:val="auto"/>
                <w:kern w:val="0"/>
                <w:sz w:val="21"/>
                <w:szCs w:val="21"/>
                <w:highlight w:val="none"/>
                <w:u w:val="none"/>
                <w:lang w:val="en-US" w:eastAsia="zh-CN" w:bidi="ar"/>
              </w:rPr>
              <w:t>签订合同且</w:t>
            </w:r>
            <w:r>
              <w:rPr>
                <w:rFonts w:hint="eastAsia" w:ascii="宋体" w:hAnsi="宋体" w:eastAsia="宋体" w:cs="宋体"/>
                <w:color w:val="auto"/>
                <w:sz w:val="21"/>
                <w:szCs w:val="21"/>
                <w:highlight w:val="none"/>
                <w:lang w:val="en-US" w:eastAsia="zh-CN" w:bidi="ar"/>
              </w:rPr>
              <w:t>甲方收到发票后3日内支付合同总价30%的预付款。</w:t>
            </w:r>
          </w:p>
        </w:tc>
        <w:tc>
          <w:tcPr>
            <w:tcW w:w="2268"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69"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p>
        </w:tc>
        <w:tc>
          <w:tcPr>
            <w:tcW w:w="5076"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rPr>
                <w:rFonts w:hint="eastAsia" w:ascii="宋体" w:hAnsi="宋体" w:eastAsia="宋体" w:cs="宋体"/>
                <w:bCs/>
                <w:kern w:val="0"/>
                <w:sz w:val="21"/>
                <w:szCs w:val="21"/>
              </w:rPr>
            </w:pPr>
            <w:r>
              <w:rPr>
                <w:rFonts w:hint="eastAsia" w:ascii="宋体" w:hAnsi="宋体" w:eastAsia="宋体" w:cs="宋体"/>
                <w:color w:val="auto"/>
                <w:sz w:val="21"/>
                <w:szCs w:val="21"/>
                <w:highlight w:val="none"/>
                <w:lang w:val="en-US" w:eastAsia="zh-CN" w:bidi="ar"/>
              </w:rPr>
              <w:t>验收</w:t>
            </w:r>
            <w:r>
              <w:rPr>
                <w:rFonts w:hint="eastAsia" w:ascii="宋体" w:hAnsi="宋体" w:eastAsia="宋体" w:cs="宋体"/>
                <w:color w:val="auto"/>
                <w:sz w:val="21"/>
                <w:szCs w:val="21"/>
                <w:highlight w:val="none"/>
                <w:lang w:eastAsia="zh-CN" w:bidi="ar"/>
              </w:rPr>
              <w:t>合格</w:t>
            </w:r>
            <w:r>
              <w:rPr>
                <w:rFonts w:hint="eastAsia" w:ascii="宋体" w:hAnsi="宋体" w:eastAsia="宋体" w:cs="宋体"/>
                <w:color w:val="auto"/>
                <w:sz w:val="21"/>
                <w:szCs w:val="21"/>
                <w:highlight w:val="none"/>
                <w:lang w:val="en-US" w:eastAsia="zh-CN" w:bidi="ar"/>
              </w:rPr>
              <w:t>且甲方收到发票后7个工作日内支付</w:t>
            </w:r>
            <w:r>
              <w:rPr>
                <w:rFonts w:hint="eastAsia" w:ascii="宋体" w:hAnsi="宋体" w:eastAsia="宋体" w:cs="宋体"/>
                <w:color w:val="auto"/>
                <w:sz w:val="21"/>
                <w:szCs w:val="21"/>
                <w:highlight w:val="none"/>
                <w:lang w:eastAsia="zh-CN" w:bidi="ar"/>
              </w:rPr>
              <w:t>完剩余</w:t>
            </w:r>
            <w:r>
              <w:rPr>
                <w:rFonts w:hint="eastAsia" w:ascii="宋体" w:hAnsi="宋体" w:eastAsia="宋体" w:cs="宋体"/>
                <w:color w:val="auto"/>
                <w:sz w:val="21"/>
                <w:szCs w:val="21"/>
                <w:highlight w:val="none"/>
                <w:lang w:val="en-US" w:eastAsia="zh-CN" w:bidi="ar"/>
              </w:rPr>
              <w:t>货</w:t>
            </w:r>
            <w:r>
              <w:rPr>
                <w:rFonts w:hint="eastAsia" w:ascii="宋体" w:hAnsi="宋体" w:eastAsia="宋体" w:cs="宋体"/>
                <w:color w:val="auto"/>
                <w:sz w:val="21"/>
                <w:szCs w:val="21"/>
                <w:highlight w:val="none"/>
                <w:lang w:eastAsia="zh-CN" w:bidi="ar"/>
              </w:rPr>
              <w:t>款。</w:t>
            </w:r>
          </w:p>
        </w:tc>
        <w:tc>
          <w:tcPr>
            <w:tcW w:w="2268" w:type="dxa"/>
            <w:shd w:val="clear" w:color="auto" w:fill="auto"/>
          </w:tcPr>
          <w:p>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w:t>
            </w:r>
          </w:p>
        </w:tc>
      </w:tr>
    </w:tbl>
    <w:p>
      <w:pPr>
        <w:keepNext w:val="0"/>
        <w:keepLines w:val="0"/>
        <w:pageBreakBefore w:val="0"/>
        <w:kinsoku/>
        <w:wordWrap/>
        <w:overflowPunct/>
        <w:topLinePunct w:val="0"/>
        <w:autoSpaceDE/>
        <w:autoSpaceDN/>
        <w:bidi w:val="0"/>
        <w:adjustRightInd/>
        <w:snapToGrid w:val="0"/>
        <w:spacing w:line="460" w:lineRule="exact"/>
        <w:ind w:right="33"/>
        <w:jc w:val="left"/>
        <w:textAlignment w:val="auto"/>
        <w:rPr>
          <w:rFonts w:hint="eastAsia" w:ascii="宋体" w:hAnsi="宋体" w:eastAsia="宋体" w:cs="宋体"/>
          <w:kern w:val="0"/>
          <w:szCs w:val="21"/>
        </w:rPr>
      </w:pPr>
      <w:r>
        <w:rPr>
          <w:rFonts w:hint="eastAsia" w:ascii="宋体" w:hAnsi="宋体" w:eastAsia="宋体" w:cs="宋体"/>
          <w:kern w:val="0"/>
          <w:szCs w:val="21"/>
        </w:rPr>
        <w:t>甲方将合同价款支付至乙方如下账户，甲方不接受向任何私人账户转账：</w:t>
      </w:r>
    </w:p>
    <w:p>
      <w:pPr>
        <w:keepNext w:val="0"/>
        <w:keepLines w:val="0"/>
        <w:pageBreakBefore w:val="0"/>
        <w:kinsoku/>
        <w:wordWrap/>
        <w:overflowPunct/>
        <w:topLinePunct w:val="0"/>
        <w:autoSpaceDE/>
        <w:autoSpaceDN/>
        <w:bidi w:val="0"/>
        <w:adjustRightInd/>
        <w:snapToGrid w:val="0"/>
        <w:spacing w:line="460" w:lineRule="exact"/>
        <w:ind w:right="33"/>
        <w:jc w:val="left"/>
        <w:textAlignment w:val="auto"/>
        <w:rPr>
          <w:rFonts w:hint="eastAsia" w:ascii="宋体" w:hAnsi="宋体" w:eastAsia="宋体" w:cs="宋体"/>
          <w:bCs/>
          <w:szCs w:val="21"/>
          <w:lang w:eastAsia="zh-CN"/>
        </w:rPr>
      </w:pPr>
      <w:r>
        <w:rPr>
          <w:rFonts w:hint="eastAsia" w:ascii="宋体" w:hAnsi="宋体" w:eastAsia="宋体" w:cs="宋体"/>
          <w:kern w:val="0"/>
          <w:szCs w:val="21"/>
        </w:rPr>
        <w:t>开户行：中国建设银行股份有限公司钦州湾大道南支行</w:t>
      </w:r>
    </w:p>
    <w:p>
      <w:pPr>
        <w:keepNext w:val="0"/>
        <w:keepLines w:val="0"/>
        <w:pageBreakBefore w:val="0"/>
        <w:kinsoku/>
        <w:wordWrap/>
        <w:overflowPunct/>
        <w:topLinePunct w:val="0"/>
        <w:autoSpaceDE/>
        <w:autoSpaceDN/>
        <w:bidi w:val="0"/>
        <w:adjustRightInd/>
        <w:snapToGrid w:val="0"/>
        <w:spacing w:line="460" w:lineRule="exact"/>
        <w:ind w:right="33"/>
        <w:jc w:val="left"/>
        <w:textAlignment w:val="auto"/>
        <w:rPr>
          <w:rFonts w:hint="eastAsia" w:ascii="宋体" w:hAnsi="宋体" w:eastAsia="宋体" w:cs="宋体"/>
          <w:bCs/>
          <w:kern w:val="0"/>
          <w:szCs w:val="21"/>
        </w:rPr>
      </w:pPr>
      <w:r>
        <w:rPr>
          <w:rFonts w:hint="eastAsia" w:ascii="宋体" w:hAnsi="宋体" w:eastAsia="宋体" w:cs="宋体"/>
          <w:bCs/>
          <w:kern w:val="0"/>
          <w:szCs w:val="21"/>
        </w:rPr>
        <w:t>开户名：钦州市曙云科技有限公司</w:t>
      </w:r>
    </w:p>
    <w:p>
      <w:pPr>
        <w:keepNext w:val="0"/>
        <w:keepLines w:val="0"/>
        <w:pageBreakBefore w:val="0"/>
        <w:kinsoku/>
        <w:wordWrap/>
        <w:overflowPunct/>
        <w:topLinePunct w:val="0"/>
        <w:autoSpaceDE/>
        <w:autoSpaceDN/>
        <w:bidi w:val="0"/>
        <w:adjustRightInd/>
        <w:spacing w:line="460" w:lineRule="exact"/>
        <w:jc w:val="left"/>
        <w:textAlignment w:val="auto"/>
        <w:rPr>
          <w:rFonts w:hint="eastAsia" w:ascii="宋体" w:hAnsi="宋体" w:eastAsia="宋体" w:cs="宋体"/>
          <w:b/>
          <w:szCs w:val="21"/>
        </w:rPr>
      </w:pPr>
      <w:r>
        <w:rPr>
          <w:rFonts w:hint="eastAsia" w:ascii="宋体" w:hAnsi="宋体" w:eastAsia="宋体" w:cs="宋体"/>
          <w:bCs/>
          <w:kern w:val="0"/>
          <w:szCs w:val="21"/>
        </w:rPr>
        <w:t>账号：45050165985700000416</w:t>
      </w:r>
    </w:p>
    <w:p>
      <w:pPr>
        <w:keepNext w:val="0"/>
        <w:keepLines w:val="0"/>
        <w:pageBreakBefore w:val="0"/>
        <w:kinsoku/>
        <w:wordWrap/>
        <w:overflowPunct/>
        <w:topLinePunct w:val="0"/>
        <w:autoSpaceDE/>
        <w:autoSpaceDN/>
        <w:bidi w:val="0"/>
        <w:adjustRightInd/>
        <w:snapToGrid w:val="0"/>
        <w:spacing w:line="460" w:lineRule="exact"/>
        <w:ind w:right="33"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第九条　质量保证金</w:t>
      </w:r>
    </w:p>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eastAsia="宋体" w:cs="宋体"/>
        </w:rPr>
      </w:pPr>
      <w:r>
        <w:rPr>
          <w:rFonts w:hint="eastAsia" w:ascii="宋体" w:hAnsi="宋体" w:eastAsia="宋体" w:cs="宋体"/>
          <w:color w:val="000000"/>
          <w:kern w:val="0"/>
          <w:sz w:val="24"/>
          <w:lang w:bidi="ar"/>
        </w:rPr>
        <w:t>1</w:t>
      </w:r>
      <w:r>
        <w:rPr>
          <w:rFonts w:hint="eastAsia" w:ascii="宋体" w:hAnsi="宋体" w:eastAsia="宋体" w:cs="宋体"/>
          <w:color w:val="000000"/>
          <w:kern w:val="0"/>
          <w:szCs w:val="21"/>
          <w:lang w:bidi="ar"/>
        </w:rPr>
        <w:t>、本项目无质量保证金。</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第十条　税费</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本合同执行中相关的一切税费均由乙方承担。</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第十一条、质量保证及售后服务</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 乙方应按合同文件规定的货物性能、技术要求、质量标准向甲方提供未经使用的全新产品。</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对达不到要求者，根据实际情况，经双方协商，可按以下办法处理：</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⑴更换：由乙方承担所发生的全部费用。</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⑵贬值处理：由甲乙双方合议定价。</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⑶退货处理：乙方应退还甲方支付的合同款，同时应承担该货物的直接费用（运输、保险）。</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2、如在使用过程中发生质量问题，乙方在接到甲方通知后在</w:t>
      </w:r>
      <w:r>
        <w:rPr>
          <w:rFonts w:hint="eastAsia" w:ascii="宋体" w:hAnsi="宋体" w:eastAsia="宋体" w:cs="宋体"/>
          <w:szCs w:val="21"/>
          <w:u w:val="single"/>
        </w:rPr>
        <w:t>4</w:t>
      </w:r>
      <w:r>
        <w:rPr>
          <w:rFonts w:hint="eastAsia" w:ascii="宋体" w:hAnsi="宋体" w:eastAsia="宋体" w:cs="宋体"/>
          <w:szCs w:val="21"/>
        </w:rPr>
        <w:t>小时内到达甲方现场处理。</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3、在质保期内，乙方应对货物出现的质量及安全问题负责处理解决并承担一切费用，甲方人为造成的除外。</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4、上述的货物免费保修期为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年，因人为因素出现的故障不在免费保修范围内。</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5、如乙方不及时或者不按甲方要求提供售后服务的，甲方有权自行委托第三方代为提供，由此产生的费用由乙方承担，甲方先行支付的，有权向乙方主张该笔费用。</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第十二条、调试和验收</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甲方对乙方提交的货物依据国家有关质量标准进行现场初步验收，外观、说明书符合合同文件技术要求的，给予签收，初步验收不合格的不予签收。货到后，甲方应当在到货（安装、调试完）后七个工作日内进行验收。</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2、乙方交货前应对产品作出全面检查和对验收文件进行整理，并列出清单，作为甲方收货验收和使用的技术条件依据，检验的结果应随货物交甲方。</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3、甲方对乙方提供的货物在使用前进行调试时，乙方需负责安装并培训甲方的使用操作人员，并协助甲方一起调试，直到符合技术要求，甲方才做最终验收。</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4、对技术复杂的货物，甲方应请国家认可的专业检测机构参与初步验收及最终验收，并由其出具质量检测报告，验收费用由甲方承担。</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5、验收时乙方必须在现场，验收完毕后作出验收结果报告提交甲方。</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第十三条、货物包装、发运及运输</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1、乙方应在货物发运前对其进行满足运输距离、防潮、防震、防锈和防破损装卸等要求包装，以保证货物安全运达甲方指定地点。</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2、使用说明书、质量检验证明书、随配附件和工具以及清单一并附于货物内。</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3、乙方在货物发运手续办理完毕后二十四小时内或货到甲方四十八小时前通知甲方，以准备接货。</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4、货物在交付甲方前发生的风险均由乙方负责，交货后风险随之转移到甲方。</w:t>
      </w:r>
    </w:p>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szCs w:val="21"/>
        </w:rPr>
      </w:pPr>
      <w:r>
        <w:rPr>
          <w:rFonts w:hint="eastAsia" w:ascii="宋体" w:hAnsi="宋体" w:eastAsia="宋体" w:cs="宋体"/>
          <w:szCs w:val="21"/>
        </w:rPr>
        <w:t>5、货物在规定的交付期限内由乙方送达甲方指定的地点视为交付，乙方同时需通知甲方货物已送达。</w:t>
      </w:r>
    </w:p>
    <w:p>
      <w:pPr>
        <w:keepNext w:val="0"/>
        <w:keepLines w:val="0"/>
        <w:pageBreakBefore w:val="0"/>
        <w:kinsoku/>
        <w:wordWrap/>
        <w:overflowPunct/>
        <w:topLinePunct w:val="0"/>
        <w:autoSpaceDE/>
        <w:autoSpaceDN/>
        <w:bidi w:val="0"/>
        <w:adjustRightInd/>
        <w:snapToGrid w:val="0"/>
        <w:spacing w:line="46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第十四条　违约责任</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1、乙方所提供的货物规格、技术标准、材料等质量不合格的，应及时更换，更换不及时的按逾期交货承担违约责任；因质量问题甲方不同意接收的或特殊情况甲方同意接收的，乙方应向甲方支付相当于本合同总价 5%的违约金。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2、乙方提供的货物如侵犯了第三方合法权益而引发的任何纠纷或诉讼，均由乙方负责交涉并承担全部责任。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3、因包装、运输引起的货物损坏，按质量不合格处理。</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rPr>
      </w:pPr>
      <w:r>
        <w:rPr>
          <w:rFonts w:hint="eastAsia" w:ascii="宋体" w:hAnsi="宋体" w:eastAsia="宋体" w:cs="宋体"/>
          <w:szCs w:val="21"/>
        </w:rPr>
        <w:t>4、甲方无故延期接收货物，每天向对方偿付违约货款额3‰违约金，但违约金累计不得超过违约货款额</w:t>
      </w:r>
      <w:r>
        <w:rPr>
          <w:rFonts w:hint="eastAsia" w:ascii="宋体" w:hAnsi="宋体" w:eastAsia="宋体" w:cs="宋体"/>
          <w:szCs w:val="21"/>
          <w:u w:val="single"/>
        </w:rPr>
        <w:t xml:space="preserve"> 5% </w:t>
      </w:r>
      <w:r>
        <w:rPr>
          <w:rFonts w:hint="eastAsia" w:ascii="宋体" w:hAnsi="宋体" w:eastAsia="宋体" w:cs="宋体"/>
          <w:szCs w:val="21"/>
        </w:rPr>
        <w:t>，超过</w:t>
      </w:r>
      <w:r>
        <w:rPr>
          <w:rFonts w:hint="eastAsia" w:ascii="宋体" w:hAnsi="宋体" w:eastAsia="宋体" w:cs="宋体"/>
          <w:szCs w:val="21"/>
          <w:u w:val="single"/>
        </w:rPr>
        <w:t xml:space="preserve"> 60 </w:t>
      </w:r>
      <w:r>
        <w:rPr>
          <w:rFonts w:hint="eastAsia" w:ascii="宋体" w:hAnsi="宋体" w:eastAsia="宋体" w:cs="宋体"/>
          <w:szCs w:val="21"/>
        </w:rPr>
        <w:t>天对方有权解除合同，违约方承担因此给对方造成的经济损失；甲方延期付货款的，每天向乙方偿付延期货款额</w:t>
      </w:r>
      <w:r>
        <w:rPr>
          <w:rFonts w:hint="eastAsia" w:ascii="宋体" w:hAnsi="宋体" w:eastAsia="宋体" w:cs="宋体"/>
          <w:szCs w:val="21"/>
          <w:u w:val="single"/>
        </w:rPr>
        <w:t xml:space="preserve"> 3‰ </w:t>
      </w:r>
      <w:r>
        <w:rPr>
          <w:rFonts w:hint="eastAsia" w:ascii="宋体" w:hAnsi="宋体" w:eastAsia="宋体" w:cs="宋体"/>
          <w:szCs w:val="21"/>
        </w:rPr>
        <w:t>的违约金，</w:t>
      </w:r>
      <w:r>
        <w:rPr>
          <w:rFonts w:hint="eastAsia" w:ascii="宋体" w:hAnsi="宋体" w:eastAsia="宋体" w:cs="宋体"/>
        </w:rPr>
        <w:t>逾期超过【60】天的，乙方有权解除合同并要求甲方支付相当于合同总价【30】%的违约金。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5、乙方未按本合同文件中规定的服务承诺提供售后服务的，乙方应按本合同合计金额</w:t>
      </w:r>
      <w:r>
        <w:rPr>
          <w:rFonts w:hint="eastAsia" w:ascii="宋体" w:hAnsi="宋体" w:eastAsia="宋体" w:cs="宋体"/>
          <w:szCs w:val="21"/>
          <w:u w:val="single"/>
        </w:rPr>
        <w:t xml:space="preserve"> 5% </w:t>
      </w:r>
      <w:r>
        <w:rPr>
          <w:rFonts w:hint="eastAsia" w:ascii="宋体" w:hAnsi="宋体" w:eastAsia="宋体" w:cs="宋体"/>
          <w:szCs w:val="21"/>
        </w:rPr>
        <w:t>向甲方支付违约金。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6、乙方提供的货物在质量保证期内，因设计、工艺或材料的缺陷和其它质量原因造成的问题，由乙方负责，费用从合同款中扣除，不足另补。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7、其它违约行为按违约货款额5%收取违约金并赔偿经济损失。</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
          <w:bCs/>
          <w:sz w:val="21"/>
          <w:szCs w:val="21"/>
        </w:rPr>
      </w:pPr>
      <w:r>
        <w:rPr>
          <w:rFonts w:hint="eastAsia" w:ascii="宋体" w:hAnsi="宋体" w:eastAsia="宋体" w:cs="宋体"/>
          <w:b w:val="0"/>
          <w:bCs w:val="0"/>
          <w:sz w:val="21"/>
          <w:szCs w:val="21"/>
        </w:rPr>
        <w:t>8、乙方逾期交付的，每逾期一日，应向甲方支付相当于合同总价【3】%的违约金；逾期超过【</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】日的，甲方有权单方全部或者部分解除合同并要求乙方支付相当于本合同总价30%的违约金。</w:t>
      </w:r>
    </w:p>
    <w:p>
      <w:pPr>
        <w:pStyle w:val="13"/>
        <w:keepNext w:val="0"/>
        <w:keepLines w:val="0"/>
        <w:pageBreakBefore w:val="0"/>
        <w:widowControl w:val="0"/>
        <w:kinsoku/>
        <w:wordWrap/>
        <w:overflowPunct/>
        <w:topLinePunct w:val="0"/>
        <w:autoSpaceDE/>
        <w:autoSpaceDN/>
        <w:bidi w:val="0"/>
        <w:adjustRightInd/>
        <w:snapToGrid w:val="0"/>
        <w:spacing w:before="120" w:after="120" w:line="440" w:lineRule="exact"/>
        <w:jc w:val="left"/>
        <w:textAlignment w:val="auto"/>
        <w:rPr>
          <w:rFonts w:hint="eastAsia" w:ascii="宋体" w:hAnsi="宋体" w:eastAsia="宋体" w:cs="宋体"/>
          <w:b/>
          <w:sz w:val="21"/>
        </w:rPr>
      </w:pPr>
      <w:r>
        <w:rPr>
          <w:rFonts w:hint="eastAsia" w:ascii="宋体" w:hAnsi="宋体" w:eastAsia="宋体" w:cs="宋体"/>
          <w:b/>
          <w:sz w:val="21"/>
        </w:rPr>
        <w:t>第十五条、不可抗力事件处理</w:t>
      </w:r>
    </w:p>
    <w:p>
      <w:pPr>
        <w:pStyle w:val="13"/>
        <w:keepNext w:val="0"/>
        <w:keepLines w:val="0"/>
        <w:pageBreakBefore w:val="0"/>
        <w:widowControl w:val="0"/>
        <w:kinsoku/>
        <w:wordWrap/>
        <w:overflowPunct/>
        <w:topLinePunct w:val="0"/>
        <w:autoSpaceDE/>
        <w:autoSpaceDN/>
        <w:bidi w:val="0"/>
        <w:adjustRightInd/>
        <w:snapToGrid w:val="0"/>
        <w:spacing w:before="120" w:after="120" w:line="440" w:lineRule="exact"/>
        <w:jc w:val="left"/>
        <w:textAlignment w:val="auto"/>
        <w:rPr>
          <w:rFonts w:hint="eastAsia" w:ascii="宋体" w:hAnsi="宋体" w:eastAsia="宋体" w:cs="宋体"/>
          <w:sz w:val="21"/>
        </w:rPr>
      </w:pPr>
      <w:r>
        <w:rPr>
          <w:rFonts w:hint="eastAsia" w:ascii="宋体" w:hAnsi="宋体" w:eastAsia="宋体" w:cs="宋体"/>
          <w:sz w:val="21"/>
        </w:rPr>
        <w:t>1、在合同有效期内，任何一方因不可抗力事件导致不能履行合同，则合同履行期可延长，其延长期与不可抗力影响期相同。</w:t>
      </w:r>
    </w:p>
    <w:p>
      <w:pPr>
        <w:pStyle w:val="13"/>
        <w:keepNext w:val="0"/>
        <w:keepLines w:val="0"/>
        <w:pageBreakBefore w:val="0"/>
        <w:widowControl w:val="0"/>
        <w:kinsoku/>
        <w:wordWrap/>
        <w:overflowPunct/>
        <w:topLinePunct w:val="0"/>
        <w:autoSpaceDE/>
        <w:autoSpaceDN/>
        <w:bidi w:val="0"/>
        <w:adjustRightInd/>
        <w:snapToGrid w:val="0"/>
        <w:spacing w:before="120" w:after="120" w:line="440" w:lineRule="exact"/>
        <w:jc w:val="left"/>
        <w:textAlignment w:val="auto"/>
        <w:rPr>
          <w:rFonts w:hint="eastAsia" w:ascii="宋体" w:hAnsi="宋体" w:eastAsia="宋体" w:cs="宋体"/>
          <w:sz w:val="21"/>
        </w:rPr>
      </w:pPr>
      <w:r>
        <w:rPr>
          <w:rFonts w:hint="eastAsia" w:ascii="宋体" w:hAnsi="宋体" w:eastAsia="宋体" w:cs="宋体"/>
          <w:sz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eastAsia="宋体" w:cs="宋体"/>
          <w:szCs w:val="21"/>
        </w:rPr>
      </w:pPr>
      <w:r>
        <w:rPr>
          <w:rFonts w:hint="eastAsia" w:ascii="宋体" w:hAnsi="宋体" w:eastAsia="宋体" w:cs="宋体"/>
          <w:b/>
          <w:szCs w:val="21"/>
        </w:rPr>
        <w:t>第十六条  合同争议解决</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2、因履行本合同引起的或与本合同有关的争议，甲乙双方应首先通过友好协商解决，如果协商不能解决，可向钦州市钦南区人民法院提起诉讼。</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Cs w:val="21"/>
        </w:rPr>
      </w:pPr>
      <w:r>
        <w:rPr>
          <w:rFonts w:hint="eastAsia" w:ascii="宋体" w:hAnsi="宋体" w:eastAsia="宋体" w:cs="宋体"/>
          <w:szCs w:val="21"/>
        </w:rPr>
        <w:t>3、诉讼期间，本合同继续履行。</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ind w:firstLine="422" w:firstLineChars="200"/>
        <w:jc w:val="left"/>
        <w:textAlignment w:val="auto"/>
        <w:rPr>
          <w:rFonts w:hint="eastAsia" w:ascii="宋体" w:hAnsi="宋体" w:eastAsia="宋体" w:cs="宋体"/>
          <w:b/>
          <w:sz w:val="21"/>
        </w:rPr>
      </w:pPr>
      <w:r>
        <w:rPr>
          <w:rFonts w:hint="eastAsia" w:ascii="宋体" w:hAnsi="宋体" w:eastAsia="宋体" w:cs="宋体"/>
          <w:b/>
          <w:sz w:val="21"/>
        </w:rPr>
        <w:t>第十七条合同生效及其它</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rPr>
          <w:rFonts w:hint="eastAsia" w:ascii="宋体" w:hAnsi="宋体" w:eastAsia="宋体" w:cs="宋体"/>
          <w:sz w:val="21"/>
        </w:rPr>
      </w:pPr>
      <w:r>
        <w:rPr>
          <w:rFonts w:hint="eastAsia" w:ascii="宋体" w:hAnsi="宋体" w:eastAsia="宋体" w:cs="宋体"/>
          <w:sz w:val="21"/>
        </w:rPr>
        <w:t>1、合同经双方法定代表人或授权代表签字并加盖单位公章后生效。</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rPr>
          <w:rFonts w:hint="eastAsia" w:ascii="宋体" w:hAnsi="宋体" w:eastAsia="宋体" w:cs="宋体"/>
          <w:sz w:val="21"/>
        </w:rPr>
      </w:pPr>
      <w:r>
        <w:rPr>
          <w:rFonts w:hint="eastAsia" w:ascii="宋体" w:hAnsi="宋体" w:eastAsia="宋体" w:cs="宋体"/>
          <w:sz w:val="21"/>
        </w:rPr>
        <w:t>2、合同执行中涉及采购资金和采购内容修改或补充的，须经甲乙双方商定，并签书面补充协议，方可作为主合同不可分割的一部分。</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rPr>
          <w:rFonts w:hint="eastAsia" w:ascii="宋体" w:hAnsi="宋体" w:eastAsia="宋体" w:cs="宋体"/>
          <w:sz w:val="21"/>
        </w:rPr>
      </w:pPr>
      <w:r>
        <w:rPr>
          <w:rFonts w:hint="eastAsia" w:ascii="宋体" w:hAnsi="宋体" w:eastAsia="宋体" w:cs="宋体"/>
          <w:sz w:val="21"/>
        </w:rPr>
        <w:t>3、本合同未尽事宜，遵照《民法典》有关条文执行。</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ind w:firstLine="413" w:firstLineChars="196"/>
        <w:jc w:val="left"/>
        <w:textAlignment w:val="auto"/>
        <w:rPr>
          <w:rFonts w:hint="eastAsia" w:ascii="宋体" w:hAnsi="宋体" w:eastAsia="宋体" w:cs="宋体"/>
          <w:b/>
          <w:sz w:val="21"/>
        </w:rPr>
      </w:pPr>
      <w:r>
        <w:rPr>
          <w:rFonts w:hint="eastAsia" w:ascii="宋体" w:hAnsi="宋体" w:eastAsia="宋体" w:cs="宋体"/>
          <w:b/>
          <w:sz w:val="21"/>
        </w:rPr>
        <w:t>第十九条、合同的变更、终止与转让</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rPr>
          <w:rFonts w:hint="eastAsia" w:ascii="宋体" w:hAnsi="宋体" w:eastAsia="宋体" w:cs="宋体"/>
          <w:sz w:val="21"/>
        </w:rPr>
      </w:pPr>
      <w:r>
        <w:rPr>
          <w:rFonts w:hint="eastAsia" w:ascii="宋体" w:hAnsi="宋体" w:eastAsia="宋体" w:cs="宋体"/>
          <w:sz w:val="21"/>
        </w:rPr>
        <w:t>1、除《中华人民共和国政府采购法》第五十条规定的情形外，本合同一经签订，甲乙双方不得擅自变更、中止或终止。</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rPr>
          <w:rFonts w:hint="eastAsia" w:ascii="宋体" w:hAnsi="宋体" w:eastAsia="宋体" w:cs="宋体"/>
          <w:sz w:val="21"/>
        </w:rPr>
      </w:pPr>
      <w:r>
        <w:rPr>
          <w:rFonts w:hint="eastAsia" w:ascii="宋体" w:hAnsi="宋体" w:eastAsia="宋体" w:cs="宋体"/>
          <w:sz w:val="21"/>
        </w:rPr>
        <w:t>2、乙方不得擅自转让（无进口资格的供应商委托进口货物除外）其应履行的合同义务。</w:t>
      </w:r>
    </w:p>
    <w:p>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Cs w:val="21"/>
        </w:rPr>
      </w:pPr>
      <w:r>
        <w:rPr>
          <w:rFonts w:hint="eastAsia" w:ascii="宋体" w:hAnsi="宋体" w:eastAsia="宋体" w:cs="宋体"/>
          <w:szCs w:val="21"/>
        </w:rPr>
        <w:t>3、合同经双方法定代表人或授权代表签字并加盖单位公章后生效。</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rPr>
          <w:rFonts w:hint="eastAsia" w:ascii="宋体" w:hAnsi="宋体" w:eastAsia="宋体" w:cs="宋体"/>
          <w:sz w:val="21"/>
        </w:rPr>
      </w:pPr>
      <w:r>
        <w:rPr>
          <w:rFonts w:hint="eastAsia" w:ascii="宋体" w:hAnsi="宋体" w:eastAsia="宋体" w:cs="宋体"/>
          <w:sz w:val="21"/>
        </w:rPr>
        <w:t>4、合同执行中涉及采购资金和采购内容修改或补充的，须经甲乙双方商定，并签书面补充协议，方可作为主合同不可分割的一部分。</w:t>
      </w:r>
    </w:p>
    <w:p>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Cs w:val="21"/>
        </w:rPr>
      </w:pPr>
      <w:r>
        <w:rPr>
          <w:rFonts w:hint="eastAsia" w:ascii="宋体" w:hAnsi="宋体" w:eastAsia="宋体" w:cs="宋体"/>
          <w:szCs w:val="21"/>
        </w:rPr>
        <w:t>5、本合同未尽事宜，遵照《民法典》有关条文执行。</w:t>
      </w:r>
    </w:p>
    <w:p>
      <w:pPr>
        <w:pStyle w:val="13"/>
        <w:keepNext w:val="0"/>
        <w:keepLines w:val="0"/>
        <w:pageBreakBefore w:val="0"/>
        <w:widowControl w:val="0"/>
        <w:kinsoku/>
        <w:wordWrap/>
        <w:overflowPunct/>
        <w:topLinePunct w:val="0"/>
        <w:autoSpaceDE/>
        <w:autoSpaceDN/>
        <w:bidi w:val="0"/>
        <w:adjustRightInd/>
        <w:snapToGrid w:val="0"/>
        <w:spacing w:before="120" w:after="120" w:line="420" w:lineRule="exact"/>
        <w:ind w:firstLine="422" w:firstLineChars="200"/>
        <w:jc w:val="left"/>
        <w:textAlignment w:val="auto"/>
        <w:rPr>
          <w:rFonts w:hint="eastAsia" w:ascii="宋体" w:hAnsi="宋体" w:eastAsia="宋体" w:cs="宋体"/>
          <w:b/>
          <w:sz w:val="21"/>
        </w:rPr>
      </w:pPr>
      <w:r>
        <w:rPr>
          <w:rFonts w:hint="eastAsia" w:ascii="宋体" w:hAnsi="宋体" w:eastAsia="宋体" w:cs="宋体"/>
          <w:b/>
          <w:sz w:val="21"/>
        </w:rPr>
        <w:t>第二十条</w:t>
      </w:r>
    </w:p>
    <w:p>
      <w:pPr>
        <w:pStyle w:val="13"/>
        <w:keepNext w:val="0"/>
        <w:keepLines w:val="0"/>
        <w:pageBreakBefore w:val="0"/>
        <w:kinsoku/>
        <w:wordWrap/>
        <w:overflowPunct/>
        <w:topLinePunct w:val="0"/>
        <w:autoSpaceDE/>
        <w:autoSpaceDN/>
        <w:bidi w:val="0"/>
        <w:adjustRightInd/>
        <w:snapToGrid w:val="0"/>
        <w:spacing w:before="120" w:after="120" w:line="460" w:lineRule="exact"/>
        <w:jc w:val="left"/>
        <w:textAlignment w:val="auto"/>
        <w:rPr>
          <w:rFonts w:hint="eastAsia" w:ascii="宋体" w:hAnsi="宋体" w:eastAsia="宋体" w:cs="宋体"/>
        </w:rPr>
      </w:pPr>
      <w:r>
        <w:rPr>
          <w:rFonts w:hint="eastAsia" w:ascii="宋体" w:hAnsi="宋体" w:eastAsia="宋体" w:cs="宋体"/>
          <w:bCs/>
          <w:sz w:val="21"/>
        </w:rPr>
        <w:t xml:space="preserve">1. </w:t>
      </w:r>
      <w:r>
        <w:rPr>
          <w:rFonts w:hint="eastAsia" w:ascii="宋体" w:hAnsi="宋体" w:eastAsia="宋体" w:cs="宋体"/>
          <w:kern w:val="2"/>
          <w:sz w:val="21"/>
        </w:rPr>
        <w:t>本合同一式二份，具有同等法律效力，甲乙双方各一份。</w:t>
      </w:r>
    </w:p>
    <w:tbl>
      <w:tblPr>
        <w:tblStyle w:val="21"/>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9"/>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4319" w:type="dxa"/>
          </w:tcPr>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宋体" w:hAnsi="宋体" w:eastAsia="宋体" w:cs="宋体"/>
                <w:kern w:val="2"/>
                <w:sz w:val="21"/>
                <w:szCs w:val="21"/>
              </w:rPr>
            </w:pP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甲</w:t>
            </w:r>
            <w:r>
              <w:rPr>
                <w:rFonts w:hint="eastAsia" w:ascii="宋体" w:hAnsi="宋体" w:eastAsia="宋体" w:cs="宋体"/>
                <w:kern w:val="2"/>
                <w:sz w:val="21"/>
                <w:szCs w:val="21"/>
                <w:u w:val="none"/>
              </w:rPr>
              <w:t>方</w:t>
            </w:r>
            <w:r>
              <w:rPr>
                <w:rFonts w:hint="eastAsia" w:ascii="宋体" w:hAnsi="宋体" w:eastAsia="宋体" w:cs="宋体"/>
                <w:kern w:val="2"/>
                <w:sz w:val="21"/>
                <w:szCs w:val="21"/>
              </w:rPr>
              <w:t>（章）</w:t>
            </w:r>
            <w:r>
              <w:rPr>
                <w:rFonts w:hint="eastAsia" w:ascii="宋体" w:hAnsi="宋体" w:eastAsia="宋体" w:cs="宋体"/>
                <w:kern w:val="2"/>
                <w:sz w:val="21"/>
                <w:szCs w:val="21"/>
                <w:u w:val="none"/>
              </w:rPr>
              <w:t>:</w:t>
            </w: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宋体" w:hAnsi="宋体" w:eastAsia="宋体" w:cs="宋体"/>
                <w:kern w:val="2"/>
                <w:sz w:val="21"/>
                <w:szCs w:val="21"/>
              </w:rPr>
            </w:pP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jc w:val="right"/>
              <w:textAlignment w:val="auto"/>
              <w:rPr>
                <w:rFonts w:hint="eastAsia" w:ascii="宋体" w:hAnsi="宋体" w:eastAsia="宋体" w:cs="宋体"/>
              </w:rPr>
            </w:pPr>
            <w:r>
              <w:rPr>
                <w:rFonts w:hint="eastAsia" w:ascii="宋体" w:hAnsi="宋体" w:eastAsia="宋体" w:cs="宋体"/>
                <w:kern w:val="2"/>
                <w:sz w:val="21"/>
                <w:szCs w:val="21"/>
              </w:rPr>
              <w:t>年   月   日</w:t>
            </w:r>
          </w:p>
        </w:tc>
        <w:tc>
          <w:tcPr>
            <w:tcW w:w="4320" w:type="dxa"/>
          </w:tcPr>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宋体" w:hAnsi="宋体" w:eastAsia="宋体" w:cs="宋体"/>
                <w:kern w:val="2"/>
                <w:sz w:val="21"/>
                <w:szCs w:val="21"/>
              </w:rPr>
            </w:pP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乙方（章）:</w:t>
            </w: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1260" w:firstLineChars="600"/>
              <w:textAlignment w:val="auto"/>
              <w:rPr>
                <w:rFonts w:hint="eastAsia" w:ascii="宋体" w:hAnsi="宋体" w:eastAsia="宋体" w:cs="宋体"/>
                <w:kern w:val="2"/>
                <w:sz w:val="21"/>
                <w:szCs w:val="21"/>
              </w:rPr>
            </w:pP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2730" w:firstLineChars="1300"/>
              <w:textAlignment w:val="auto"/>
              <w:rPr>
                <w:rFonts w:hint="eastAsia" w:ascii="宋体" w:hAnsi="宋体" w:eastAsia="宋体" w:cs="宋体"/>
                <w:kern w:val="2"/>
                <w:sz w:val="21"/>
                <w:szCs w:val="21"/>
              </w:rPr>
            </w:pPr>
          </w:p>
          <w:p>
            <w:pPr>
              <w:pStyle w:val="18"/>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2730" w:firstLineChars="1300"/>
              <w:textAlignment w:val="auto"/>
              <w:rPr>
                <w:rFonts w:hint="eastAsia" w:ascii="宋体" w:hAnsi="宋体" w:eastAsia="宋体" w:cs="宋体"/>
                <w:sz w:val="21"/>
                <w:szCs w:val="21"/>
              </w:rPr>
            </w:pPr>
            <w:r>
              <w:rPr>
                <w:rFonts w:hint="eastAsia" w:ascii="宋体" w:hAnsi="宋体" w:eastAsia="宋体" w:cs="宋体"/>
                <w:kern w:val="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431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szCs w:val="21"/>
                <w:lang w:val="en-US" w:eastAsia="zh-CN"/>
              </w:rPr>
            </w:pPr>
            <w:r>
              <w:rPr>
                <w:rFonts w:hint="eastAsia" w:ascii="宋体" w:hAnsi="宋体" w:eastAsia="宋体" w:cs="宋体"/>
                <w:szCs w:val="21"/>
              </w:rPr>
              <w:t>单位地址：</w:t>
            </w:r>
          </w:p>
        </w:tc>
        <w:tc>
          <w:tcPr>
            <w:tcW w:w="432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szCs w:val="21"/>
                <w:lang w:val="en-US" w:eastAsia="zh-CN"/>
              </w:rPr>
            </w:pPr>
            <w:r>
              <w:rPr>
                <w:rFonts w:hint="eastAsia" w:ascii="宋体" w:hAnsi="宋体" w:eastAsia="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431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szCs w:val="21"/>
              </w:rPr>
            </w:pPr>
            <w:r>
              <w:rPr>
                <w:rFonts w:hint="eastAsia" w:ascii="宋体" w:hAnsi="宋体" w:eastAsia="宋体" w:cs="宋体"/>
                <w:szCs w:val="21"/>
              </w:rPr>
              <w:t>法定代表人：</w:t>
            </w:r>
          </w:p>
        </w:tc>
        <w:tc>
          <w:tcPr>
            <w:tcW w:w="432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szCs w:val="21"/>
              </w:rPr>
            </w:pPr>
            <w:r>
              <w:rPr>
                <w:rFonts w:hint="eastAsia" w:ascii="宋体" w:hAnsi="宋体" w:eastAsia="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639" w:type="dxa"/>
            <w:gridSpan w:val="2"/>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2430" w:leftChars="1007" w:right="0" w:hanging="315" w:hangingChars="150"/>
              <w:jc w:val="left"/>
              <w:textAlignment w:val="auto"/>
              <w:rPr>
                <w:rFonts w:hint="eastAsia" w:ascii="宋体" w:hAnsi="宋体" w:eastAsia="宋体" w:cs="宋体"/>
                <w:szCs w:val="21"/>
              </w:rPr>
            </w:pP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szCs w:val="21"/>
              </w:rPr>
            </w:pPr>
            <w:r>
              <w:rPr>
                <w:rFonts w:hint="eastAsia" w:ascii="宋体" w:hAnsi="宋体" w:eastAsia="宋体" w:cs="宋体"/>
                <w:szCs w:val="21"/>
              </w:rPr>
              <w:t>经办人：</w:t>
            </w:r>
          </w:p>
        </w:tc>
      </w:tr>
    </w:tbl>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44"/>
          <w:szCs w:val="44"/>
          <w:highlight w:val="none"/>
          <w:lang w:eastAsia="zh-CN"/>
        </w:rPr>
      </w:pPr>
      <w:r>
        <w:rPr>
          <w:rFonts w:hint="eastAsia" w:ascii="宋体" w:hAnsi="宋体" w:eastAsia="宋体" w:cs="宋体"/>
          <w:b w:val="0"/>
          <w:bCs w:val="0"/>
          <w:color w:val="auto"/>
          <w:sz w:val="44"/>
          <w:szCs w:val="44"/>
          <w:highlight w:val="none"/>
        </w:rPr>
        <w:t>廉政</w:t>
      </w:r>
      <w:r>
        <w:rPr>
          <w:rFonts w:hint="eastAsia" w:ascii="宋体" w:hAnsi="宋体" w:eastAsia="宋体" w:cs="宋体"/>
          <w:b w:val="0"/>
          <w:bCs w:val="0"/>
          <w:color w:val="auto"/>
          <w:sz w:val="44"/>
          <w:szCs w:val="44"/>
          <w:highlight w:val="none"/>
          <w:lang w:val="en-US" w:eastAsia="zh-CN"/>
        </w:rPr>
        <w:t>承诺协议</w:t>
      </w:r>
      <w:r>
        <w:rPr>
          <w:rFonts w:hint="eastAsia" w:ascii="宋体" w:hAnsi="宋体" w:eastAsia="宋体" w:cs="宋体"/>
          <w:b w:val="0"/>
          <w:bCs w:val="0"/>
          <w:color w:val="auto"/>
          <w:sz w:val="44"/>
          <w:szCs w:val="44"/>
          <w:highlight w:val="none"/>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eastAsia="zh-CN"/>
        </w:rPr>
        <w:t>广西钦州恒通货柜码头仓储有限公司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6"/>
          <w:rFonts w:hint="eastAsia" w:ascii="宋体" w:hAnsi="宋体" w:eastAsia="宋体" w:cs="宋体"/>
          <w:color w:val="auto"/>
          <w:sz w:val="24"/>
          <w:szCs w:val="24"/>
          <w:highlight w:val="none"/>
          <w:lang w:val="en-US" w:eastAsia="zh-CN"/>
        </w:rPr>
        <w:t>zimaokaitoujituan@163.com</w:t>
      </w:r>
      <w:r>
        <w:rPr>
          <w:rStyle w:val="26"/>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《北</w:t>
      </w:r>
      <w:r>
        <w:rPr>
          <w:rFonts w:hint="eastAsia" w:ascii="宋体" w:hAnsi="宋体" w:eastAsia="宋体" w:cs="宋体"/>
          <w:b w:val="0"/>
          <w:bCs/>
          <w:color w:val="auto"/>
          <w:sz w:val="24"/>
          <w:szCs w:val="24"/>
          <w:highlight w:val="none"/>
          <w:lang w:val="en-US" w:eastAsia="zh-CN"/>
        </w:rPr>
        <w:t>北部湾(钦州)国际粮食加工产业园项目大门施工工程</w:t>
      </w:r>
      <w:r>
        <w:rPr>
          <w:rFonts w:hint="eastAsia" w:ascii="宋体" w:hAnsi="宋体" w:eastAsia="宋体" w:cs="宋体"/>
          <w:color w:val="auto"/>
          <w:sz w:val="24"/>
          <w:szCs w:val="24"/>
          <w:highlight w:val="none"/>
          <w:lang w:val="en-US" w:eastAsia="zh-CN"/>
        </w:rPr>
        <w:t>施工合同》</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pPr>
        <w:pStyle w:val="5"/>
        <w:rPr>
          <w:rFonts w:hint="eastAsia" w:ascii="宋体" w:hAnsi="宋体" w:eastAsia="宋体" w:cs="宋体"/>
          <w:b/>
          <w:bCs/>
          <w:color w:val="auto"/>
          <w:sz w:val="32"/>
          <w:szCs w:val="32"/>
          <w:highlight w:val="none"/>
          <w:lang w:val="en-US" w:eastAsia="zh-CN"/>
        </w:rPr>
      </w:pPr>
    </w:p>
    <w:p>
      <w:pPr>
        <w:rPr>
          <w:rFonts w:hint="eastAsia" w:ascii="宋体" w:hAnsi="宋体" w:eastAsia="宋体" w:cs="宋体"/>
          <w:color w:val="auto"/>
          <w:highlight w:val="none"/>
          <w:lang w:val="en-US" w:eastAsia="zh-CN"/>
        </w:rPr>
      </w:pPr>
    </w:p>
    <w:sectPr>
      <w:footerReference r:id="rId5" w:type="default"/>
      <w:pgSz w:w="11906" w:h="16838"/>
      <w:pgMar w:top="1440" w:right="1417" w:bottom="1440"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48687C2"/>
    <w:multiLevelType w:val="singleLevel"/>
    <w:tmpl w:val="E48687C2"/>
    <w:lvl w:ilvl="0" w:tentative="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1NTMyMjVhM2EyYzAwZDZlZjk4NDY4MDE2ZDQ1NzgifQ=="/>
  </w:docVars>
  <w:rsids>
    <w:rsidRoot w:val="00377E77"/>
    <w:rsid w:val="00080E82"/>
    <w:rsid w:val="0023264F"/>
    <w:rsid w:val="00286F24"/>
    <w:rsid w:val="00295BA7"/>
    <w:rsid w:val="0031304A"/>
    <w:rsid w:val="00377E77"/>
    <w:rsid w:val="003B76EC"/>
    <w:rsid w:val="004F4C42"/>
    <w:rsid w:val="0052334A"/>
    <w:rsid w:val="00544AAF"/>
    <w:rsid w:val="00597EC8"/>
    <w:rsid w:val="006226B5"/>
    <w:rsid w:val="006A5CDE"/>
    <w:rsid w:val="006B4864"/>
    <w:rsid w:val="007B37AE"/>
    <w:rsid w:val="0083536D"/>
    <w:rsid w:val="008374CD"/>
    <w:rsid w:val="008B0AC4"/>
    <w:rsid w:val="00953FA3"/>
    <w:rsid w:val="009603D8"/>
    <w:rsid w:val="00A34AA1"/>
    <w:rsid w:val="00AC7889"/>
    <w:rsid w:val="00CA21A2"/>
    <w:rsid w:val="00D20F5D"/>
    <w:rsid w:val="00D27823"/>
    <w:rsid w:val="00D91B2E"/>
    <w:rsid w:val="00E46B90"/>
    <w:rsid w:val="00F20589"/>
    <w:rsid w:val="01692279"/>
    <w:rsid w:val="01874D0F"/>
    <w:rsid w:val="018B2C0E"/>
    <w:rsid w:val="01B11A47"/>
    <w:rsid w:val="01E75868"/>
    <w:rsid w:val="02A1114C"/>
    <w:rsid w:val="02CD67D2"/>
    <w:rsid w:val="02DB5955"/>
    <w:rsid w:val="02FD74D4"/>
    <w:rsid w:val="03382487"/>
    <w:rsid w:val="033C11D8"/>
    <w:rsid w:val="03475A4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77166A"/>
    <w:rsid w:val="0A8507CE"/>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D562B9"/>
    <w:rsid w:val="0DE84494"/>
    <w:rsid w:val="0E157483"/>
    <w:rsid w:val="0EB473DE"/>
    <w:rsid w:val="0EB4E7D0"/>
    <w:rsid w:val="0F205090"/>
    <w:rsid w:val="0F31498D"/>
    <w:rsid w:val="0F6404D7"/>
    <w:rsid w:val="0F75172D"/>
    <w:rsid w:val="0F906D7B"/>
    <w:rsid w:val="10020D19"/>
    <w:rsid w:val="101F195E"/>
    <w:rsid w:val="105679F8"/>
    <w:rsid w:val="10665370"/>
    <w:rsid w:val="10782D20"/>
    <w:rsid w:val="107E71FC"/>
    <w:rsid w:val="1089602A"/>
    <w:rsid w:val="10C07715"/>
    <w:rsid w:val="10CE73F0"/>
    <w:rsid w:val="10E64931"/>
    <w:rsid w:val="110C4D0D"/>
    <w:rsid w:val="111B71F1"/>
    <w:rsid w:val="113A4B37"/>
    <w:rsid w:val="116F10F6"/>
    <w:rsid w:val="118E1D23"/>
    <w:rsid w:val="118E286E"/>
    <w:rsid w:val="11A85C5E"/>
    <w:rsid w:val="11B14F44"/>
    <w:rsid w:val="11D45567"/>
    <w:rsid w:val="123C051C"/>
    <w:rsid w:val="123C45D4"/>
    <w:rsid w:val="125838F7"/>
    <w:rsid w:val="12924115"/>
    <w:rsid w:val="12A27490"/>
    <w:rsid w:val="12B427A8"/>
    <w:rsid w:val="130D010A"/>
    <w:rsid w:val="138758AD"/>
    <w:rsid w:val="144C726A"/>
    <w:rsid w:val="14516A37"/>
    <w:rsid w:val="145C4EA5"/>
    <w:rsid w:val="147075B1"/>
    <w:rsid w:val="14C602DB"/>
    <w:rsid w:val="14D473D9"/>
    <w:rsid w:val="14DA26BB"/>
    <w:rsid w:val="14E95E62"/>
    <w:rsid w:val="155415AA"/>
    <w:rsid w:val="15627EDD"/>
    <w:rsid w:val="158D5A96"/>
    <w:rsid w:val="159B231F"/>
    <w:rsid w:val="15CF11DB"/>
    <w:rsid w:val="162C5573"/>
    <w:rsid w:val="167772FE"/>
    <w:rsid w:val="16A73FF1"/>
    <w:rsid w:val="16CE2DF1"/>
    <w:rsid w:val="16E11692"/>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141EC"/>
    <w:rsid w:val="1AB62EC5"/>
    <w:rsid w:val="1AD36D55"/>
    <w:rsid w:val="1AE07CCB"/>
    <w:rsid w:val="1AE62938"/>
    <w:rsid w:val="1AF01232"/>
    <w:rsid w:val="1B254619"/>
    <w:rsid w:val="1B3072A4"/>
    <w:rsid w:val="1B3A39A7"/>
    <w:rsid w:val="1BA442B5"/>
    <w:rsid w:val="1BCD48DA"/>
    <w:rsid w:val="1BE624A8"/>
    <w:rsid w:val="1BE8741E"/>
    <w:rsid w:val="1C2503CF"/>
    <w:rsid w:val="1C331C9B"/>
    <w:rsid w:val="1C3A461F"/>
    <w:rsid w:val="1C583DAC"/>
    <w:rsid w:val="1C735BE1"/>
    <w:rsid w:val="1C7F25A2"/>
    <w:rsid w:val="1C99577A"/>
    <w:rsid w:val="1D991F76"/>
    <w:rsid w:val="1DA510CB"/>
    <w:rsid w:val="1DD41F50"/>
    <w:rsid w:val="1E2C54FA"/>
    <w:rsid w:val="1E553EB9"/>
    <w:rsid w:val="1E8D582D"/>
    <w:rsid w:val="1EF652E1"/>
    <w:rsid w:val="1F0C7865"/>
    <w:rsid w:val="1F2B0E21"/>
    <w:rsid w:val="1F793F7F"/>
    <w:rsid w:val="1F836367"/>
    <w:rsid w:val="1F861028"/>
    <w:rsid w:val="1FA2571F"/>
    <w:rsid w:val="20096994"/>
    <w:rsid w:val="205A54F3"/>
    <w:rsid w:val="206B2003"/>
    <w:rsid w:val="20B31DCB"/>
    <w:rsid w:val="20BF3D07"/>
    <w:rsid w:val="21093804"/>
    <w:rsid w:val="21197F58"/>
    <w:rsid w:val="216D5F5C"/>
    <w:rsid w:val="216E62F3"/>
    <w:rsid w:val="21726E0B"/>
    <w:rsid w:val="21916B6D"/>
    <w:rsid w:val="21A64B78"/>
    <w:rsid w:val="21B13D1D"/>
    <w:rsid w:val="21CA55C5"/>
    <w:rsid w:val="2204269B"/>
    <w:rsid w:val="22387007"/>
    <w:rsid w:val="22606ABC"/>
    <w:rsid w:val="22650C06"/>
    <w:rsid w:val="22AB2AC4"/>
    <w:rsid w:val="22B365D8"/>
    <w:rsid w:val="22C24A6D"/>
    <w:rsid w:val="22FF7597"/>
    <w:rsid w:val="231625B2"/>
    <w:rsid w:val="237A23D8"/>
    <w:rsid w:val="240B137D"/>
    <w:rsid w:val="24352F85"/>
    <w:rsid w:val="244A3359"/>
    <w:rsid w:val="24EB2FCE"/>
    <w:rsid w:val="25031E0F"/>
    <w:rsid w:val="2540519B"/>
    <w:rsid w:val="256A7B23"/>
    <w:rsid w:val="25C71449"/>
    <w:rsid w:val="25F215F0"/>
    <w:rsid w:val="26844E74"/>
    <w:rsid w:val="26942D28"/>
    <w:rsid w:val="269770B2"/>
    <w:rsid w:val="26A36451"/>
    <w:rsid w:val="26CD4C2E"/>
    <w:rsid w:val="26E266C1"/>
    <w:rsid w:val="27133AE9"/>
    <w:rsid w:val="27157D02"/>
    <w:rsid w:val="27870264"/>
    <w:rsid w:val="27E259BA"/>
    <w:rsid w:val="28CD6169"/>
    <w:rsid w:val="28DF5C9E"/>
    <w:rsid w:val="28EC413F"/>
    <w:rsid w:val="28FD2A3F"/>
    <w:rsid w:val="290E5506"/>
    <w:rsid w:val="291E415D"/>
    <w:rsid w:val="295E666C"/>
    <w:rsid w:val="298160F4"/>
    <w:rsid w:val="299037CC"/>
    <w:rsid w:val="29A7027F"/>
    <w:rsid w:val="29C22340"/>
    <w:rsid w:val="29E0554E"/>
    <w:rsid w:val="2A721527"/>
    <w:rsid w:val="2A747086"/>
    <w:rsid w:val="2ADA6A24"/>
    <w:rsid w:val="2AF56E78"/>
    <w:rsid w:val="2B151288"/>
    <w:rsid w:val="2B2758B4"/>
    <w:rsid w:val="2B8F6A94"/>
    <w:rsid w:val="2BAC2952"/>
    <w:rsid w:val="2BB544EB"/>
    <w:rsid w:val="2BB71FB5"/>
    <w:rsid w:val="2C0D620D"/>
    <w:rsid w:val="2C9222B2"/>
    <w:rsid w:val="2C95608E"/>
    <w:rsid w:val="2CC72354"/>
    <w:rsid w:val="2CE17AF6"/>
    <w:rsid w:val="2D0E3DF0"/>
    <w:rsid w:val="2D50610D"/>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657BDE"/>
    <w:rsid w:val="2FD54191"/>
    <w:rsid w:val="2FF8776F"/>
    <w:rsid w:val="30343CBE"/>
    <w:rsid w:val="3057388E"/>
    <w:rsid w:val="30713E31"/>
    <w:rsid w:val="309F7328"/>
    <w:rsid w:val="30C01803"/>
    <w:rsid w:val="312654E6"/>
    <w:rsid w:val="312C620B"/>
    <w:rsid w:val="313D7A41"/>
    <w:rsid w:val="31737A8A"/>
    <w:rsid w:val="31CE722C"/>
    <w:rsid w:val="31DE7DDE"/>
    <w:rsid w:val="31EF7C74"/>
    <w:rsid w:val="32235819"/>
    <w:rsid w:val="32680FEB"/>
    <w:rsid w:val="32E64492"/>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77886"/>
    <w:rsid w:val="37EA44E4"/>
    <w:rsid w:val="38504E49"/>
    <w:rsid w:val="389D7EB4"/>
    <w:rsid w:val="38B5247B"/>
    <w:rsid w:val="38EE2D91"/>
    <w:rsid w:val="390126DC"/>
    <w:rsid w:val="391D3D3D"/>
    <w:rsid w:val="39230C42"/>
    <w:rsid w:val="3A173499"/>
    <w:rsid w:val="3A1D0C5F"/>
    <w:rsid w:val="3A416AF3"/>
    <w:rsid w:val="3A8C68EF"/>
    <w:rsid w:val="3AA1056B"/>
    <w:rsid w:val="3AC871CA"/>
    <w:rsid w:val="3B1309D9"/>
    <w:rsid w:val="3B1C043E"/>
    <w:rsid w:val="3B5D5507"/>
    <w:rsid w:val="3B7207E0"/>
    <w:rsid w:val="3B80764B"/>
    <w:rsid w:val="3BB373DD"/>
    <w:rsid w:val="3BDF5FF7"/>
    <w:rsid w:val="3BEC5927"/>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1F69B4"/>
    <w:rsid w:val="3F27385C"/>
    <w:rsid w:val="3F305F4A"/>
    <w:rsid w:val="3F372E2B"/>
    <w:rsid w:val="3F704656"/>
    <w:rsid w:val="3F995A6D"/>
    <w:rsid w:val="3F9F6646"/>
    <w:rsid w:val="3FC95E0D"/>
    <w:rsid w:val="3FF5495A"/>
    <w:rsid w:val="40091F67"/>
    <w:rsid w:val="401D3D65"/>
    <w:rsid w:val="401F1903"/>
    <w:rsid w:val="403C26D2"/>
    <w:rsid w:val="403E0ADE"/>
    <w:rsid w:val="40421178"/>
    <w:rsid w:val="405F56F1"/>
    <w:rsid w:val="40D62084"/>
    <w:rsid w:val="40E73CA3"/>
    <w:rsid w:val="40F74DC4"/>
    <w:rsid w:val="416D0A93"/>
    <w:rsid w:val="416F34E5"/>
    <w:rsid w:val="418F600A"/>
    <w:rsid w:val="41A56762"/>
    <w:rsid w:val="41C35FA3"/>
    <w:rsid w:val="41D177C9"/>
    <w:rsid w:val="41FC51CB"/>
    <w:rsid w:val="42000DBB"/>
    <w:rsid w:val="4204410F"/>
    <w:rsid w:val="420B40EC"/>
    <w:rsid w:val="42220C18"/>
    <w:rsid w:val="424937EF"/>
    <w:rsid w:val="426233F1"/>
    <w:rsid w:val="42AD2876"/>
    <w:rsid w:val="42D41D58"/>
    <w:rsid w:val="430624C6"/>
    <w:rsid w:val="43682CA2"/>
    <w:rsid w:val="436A512C"/>
    <w:rsid w:val="43AE69E2"/>
    <w:rsid w:val="43BD12C3"/>
    <w:rsid w:val="43D93E6B"/>
    <w:rsid w:val="43E87B28"/>
    <w:rsid w:val="43F57082"/>
    <w:rsid w:val="43F71712"/>
    <w:rsid w:val="44385D88"/>
    <w:rsid w:val="44522D00"/>
    <w:rsid w:val="44752007"/>
    <w:rsid w:val="452A1112"/>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A1F7C"/>
    <w:rsid w:val="47D25D21"/>
    <w:rsid w:val="47EA265E"/>
    <w:rsid w:val="487E3345"/>
    <w:rsid w:val="48953C10"/>
    <w:rsid w:val="48A24101"/>
    <w:rsid w:val="48EE4471"/>
    <w:rsid w:val="48FC638A"/>
    <w:rsid w:val="49007C8C"/>
    <w:rsid w:val="49276F2E"/>
    <w:rsid w:val="493D364F"/>
    <w:rsid w:val="49495117"/>
    <w:rsid w:val="49630D4C"/>
    <w:rsid w:val="4977752B"/>
    <w:rsid w:val="498F28D1"/>
    <w:rsid w:val="49B81958"/>
    <w:rsid w:val="49D17CD9"/>
    <w:rsid w:val="49DF3538"/>
    <w:rsid w:val="4A282C13"/>
    <w:rsid w:val="4A673701"/>
    <w:rsid w:val="4ABA6354"/>
    <w:rsid w:val="4AC62A9D"/>
    <w:rsid w:val="4ADA779D"/>
    <w:rsid w:val="4AE91E7C"/>
    <w:rsid w:val="4AED1AA7"/>
    <w:rsid w:val="4AEE791F"/>
    <w:rsid w:val="4B171404"/>
    <w:rsid w:val="4B39244D"/>
    <w:rsid w:val="4B4057E7"/>
    <w:rsid w:val="4B49685A"/>
    <w:rsid w:val="4B8F7597"/>
    <w:rsid w:val="4BB530E0"/>
    <w:rsid w:val="4BC16D1C"/>
    <w:rsid w:val="4BCA17A7"/>
    <w:rsid w:val="4BD6633F"/>
    <w:rsid w:val="4BE24E3A"/>
    <w:rsid w:val="4C1D08F9"/>
    <w:rsid w:val="4C3A7ED7"/>
    <w:rsid w:val="4C40574E"/>
    <w:rsid w:val="4C5A28C7"/>
    <w:rsid w:val="4C7E0836"/>
    <w:rsid w:val="4C9E715E"/>
    <w:rsid w:val="4CCC524F"/>
    <w:rsid w:val="4D3771C8"/>
    <w:rsid w:val="4D4E6B20"/>
    <w:rsid w:val="4D573446"/>
    <w:rsid w:val="4D6E0FB7"/>
    <w:rsid w:val="4D6E75E8"/>
    <w:rsid w:val="4D785DBE"/>
    <w:rsid w:val="4D9B7AE1"/>
    <w:rsid w:val="4DBB14AE"/>
    <w:rsid w:val="4E6C2DA7"/>
    <w:rsid w:val="4EAC54CF"/>
    <w:rsid w:val="4EC1060E"/>
    <w:rsid w:val="4EC56875"/>
    <w:rsid w:val="4EFB456B"/>
    <w:rsid w:val="4F24624D"/>
    <w:rsid w:val="4F513D5F"/>
    <w:rsid w:val="4F7312EE"/>
    <w:rsid w:val="4FB43CBE"/>
    <w:rsid w:val="4FE0147F"/>
    <w:rsid w:val="50550202"/>
    <w:rsid w:val="50B96C00"/>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547C3D"/>
    <w:rsid w:val="546A089D"/>
    <w:rsid w:val="546F445C"/>
    <w:rsid w:val="547F1CDB"/>
    <w:rsid w:val="54DB4C0A"/>
    <w:rsid w:val="54E03116"/>
    <w:rsid w:val="54F27B84"/>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236549"/>
    <w:rsid w:val="585050BF"/>
    <w:rsid w:val="585D1C9C"/>
    <w:rsid w:val="586B418D"/>
    <w:rsid w:val="5886610B"/>
    <w:rsid w:val="58D033F2"/>
    <w:rsid w:val="58E86CA3"/>
    <w:rsid w:val="5933411F"/>
    <w:rsid w:val="59483BF5"/>
    <w:rsid w:val="5A2C21F1"/>
    <w:rsid w:val="5A4537CF"/>
    <w:rsid w:val="5A6A261F"/>
    <w:rsid w:val="5AD00DCE"/>
    <w:rsid w:val="5AE65F83"/>
    <w:rsid w:val="5B0171D9"/>
    <w:rsid w:val="5B031993"/>
    <w:rsid w:val="5B0E4D86"/>
    <w:rsid w:val="5B3160A7"/>
    <w:rsid w:val="5B881C80"/>
    <w:rsid w:val="5BBB2BB0"/>
    <w:rsid w:val="5BFB3952"/>
    <w:rsid w:val="5C0476C3"/>
    <w:rsid w:val="5C6137C8"/>
    <w:rsid w:val="5C725F5D"/>
    <w:rsid w:val="5C8C5A76"/>
    <w:rsid w:val="5CE255E1"/>
    <w:rsid w:val="5D1A67DC"/>
    <w:rsid w:val="5D2907BD"/>
    <w:rsid w:val="5D2F36E0"/>
    <w:rsid w:val="5DFB43B4"/>
    <w:rsid w:val="5E007D69"/>
    <w:rsid w:val="5E0400DD"/>
    <w:rsid w:val="5E6827D5"/>
    <w:rsid w:val="5E7F7D22"/>
    <w:rsid w:val="5EC01341"/>
    <w:rsid w:val="5EFEAE1C"/>
    <w:rsid w:val="5F0454F9"/>
    <w:rsid w:val="5F507BA7"/>
    <w:rsid w:val="5F9F13B6"/>
    <w:rsid w:val="5FB7255D"/>
    <w:rsid w:val="5FCA5AFB"/>
    <w:rsid w:val="5FEE7037"/>
    <w:rsid w:val="601302A4"/>
    <w:rsid w:val="601E0974"/>
    <w:rsid w:val="6020197C"/>
    <w:rsid w:val="6037271C"/>
    <w:rsid w:val="603D06A3"/>
    <w:rsid w:val="605C3CBF"/>
    <w:rsid w:val="605D19BA"/>
    <w:rsid w:val="60665514"/>
    <w:rsid w:val="607423E6"/>
    <w:rsid w:val="608E3A3D"/>
    <w:rsid w:val="609845C3"/>
    <w:rsid w:val="609C7A5A"/>
    <w:rsid w:val="60D54007"/>
    <w:rsid w:val="60D84E9F"/>
    <w:rsid w:val="6107716D"/>
    <w:rsid w:val="616E555C"/>
    <w:rsid w:val="61770B20"/>
    <w:rsid w:val="61927868"/>
    <w:rsid w:val="61B83291"/>
    <w:rsid w:val="61CB5160"/>
    <w:rsid w:val="61FB69A8"/>
    <w:rsid w:val="621F1B17"/>
    <w:rsid w:val="622D3289"/>
    <w:rsid w:val="6266219C"/>
    <w:rsid w:val="62750475"/>
    <w:rsid w:val="627546ED"/>
    <w:rsid w:val="6295721E"/>
    <w:rsid w:val="629F008B"/>
    <w:rsid w:val="62C26F2D"/>
    <w:rsid w:val="62E04931"/>
    <w:rsid w:val="631A1C66"/>
    <w:rsid w:val="63233B50"/>
    <w:rsid w:val="63301CF5"/>
    <w:rsid w:val="63665830"/>
    <w:rsid w:val="636E5628"/>
    <w:rsid w:val="63966373"/>
    <w:rsid w:val="63A33BBD"/>
    <w:rsid w:val="63CD46A6"/>
    <w:rsid w:val="6410008F"/>
    <w:rsid w:val="64284052"/>
    <w:rsid w:val="6429099E"/>
    <w:rsid w:val="647555F7"/>
    <w:rsid w:val="647B3309"/>
    <w:rsid w:val="64B35BE6"/>
    <w:rsid w:val="64BC5621"/>
    <w:rsid w:val="64C00EAA"/>
    <w:rsid w:val="64C9512D"/>
    <w:rsid w:val="6526689E"/>
    <w:rsid w:val="653D4716"/>
    <w:rsid w:val="654A79CF"/>
    <w:rsid w:val="6552427C"/>
    <w:rsid w:val="655E5AFC"/>
    <w:rsid w:val="65627ECE"/>
    <w:rsid w:val="65B940C9"/>
    <w:rsid w:val="65FF7564"/>
    <w:rsid w:val="66353CC9"/>
    <w:rsid w:val="66A85805"/>
    <w:rsid w:val="66F26765"/>
    <w:rsid w:val="66FC729A"/>
    <w:rsid w:val="671342EB"/>
    <w:rsid w:val="674072DB"/>
    <w:rsid w:val="67D8638F"/>
    <w:rsid w:val="6803353F"/>
    <w:rsid w:val="685607DF"/>
    <w:rsid w:val="685E563F"/>
    <w:rsid w:val="687D1E6A"/>
    <w:rsid w:val="6898128A"/>
    <w:rsid w:val="68B60B5B"/>
    <w:rsid w:val="68D1417E"/>
    <w:rsid w:val="690C6FAA"/>
    <w:rsid w:val="690E1FC4"/>
    <w:rsid w:val="692E3A9D"/>
    <w:rsid w:val="694F1A58"/>
    <w:rsid w:val="697056F5"/>
    <w:rsid w:val="69CB468B"/>
    <w:rsid w:val="69CC5C96"/>
    <w:rsid w:val="69E33953"/>
    <w:rsid w:val="6A53231B"/>
    <w:rsid w:val="6A8164DF"/>
    <w:rsid w:val="6AC62FBB"/>
    <w:rsid w:val="6B252027"/>
    <w:rsid w:val="6B252A70"/>
    <w:rsid w:val="6B3833C1"/>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F5C60D4"/>
    <w:rsid w:val="6F627207"/>
    <w:rsid w:val="6F675D4D"/>
    <w:rsid w:val="6F8A62CB"/>
    <w:rsid w:val="6F8C3A16"/>
    <w:rsid w:val="6FD2187C"/>
    <w:rsid w:val="6FEF9CC1"/>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2F2C65A"/>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B822F2"/>
    <w:rsid w:val="77D97C19"/>
    <w:rsid w:val="77E6595F"/>
    <w:rsid w:val="78077A4A"/>
    <w:rsid w:val="782E7E31"/>
    <w:rsid w:val="78383184"/>
    <w:rsid w:val="78795CD6"/>
    <w:rsid w:val="790D5F92"/>
    <w:rsid w:val="79340D5C"/>
    <w:rsid w:val="794357FD"/>
    <w:rsid w:val="797E0EB6"/>
    <w:rsid w:val="798950D1"/>
    <w:rsid w:val="798B1458"/>
    <w:rsid w:val="799856B5"/>
    <w:rsid w:val="79F24D91"/>
    <w:rsid w:val="7A247909"/>
    <w:rsid w:val="7A490D2F"/>
    <w:rsid w:val="7A5710C6"/>
    <w:rsid w:val="7A5A246A"/>
    <w:rsid w:val="7A6E6AF6"/>
    <w:rsid w:val="7A921639"/>
    <w:rsid w:val="7AA01263"/>
    <w:rsid w:val="7AA33A30"/>
    <w:rsid w:val="7AB26644"/>
    <w:rsid w:val="7AD31C0E"/>
    <w:rsid w:val="7AFD2B2A"/>
    <w:rsid w:val="7B113279"/>
    <w:rsid w:val="7B2C5641"/>
    <w:rsid w:val="7B31273F"/>
    <w:rsid w:val="7B33081F"/>
    <w:rsid w:val="7B60022D"/>
    <w:rsid w:val="7B6479D0"/>
    <w:rsid w:val="7B992499"/>
    <w:rsid w:val="7BAF534F"/>
    <w:rsid w:val="7BB33CEF"/>
    <w:rsid w:val="7BC64250"/>
    <w:rsid w:val="7BFB3417"/>
    <w:rsid w:val="7BFC2507"/>
    <w:rsid w:val="7C1A2DA4"/>
    <w:rsid w:val="7C4B12FE"/>
    <w:rsid w:val="7C9E730A"/>
    <w:rsid w:val="7CBBCA35"/>
    <w:rsid w:val="7D0278A8"/>
    <w:rsid w:val="7D107B6E"/>
    <w:rsid w:val="7D2E7BDC"/>
    <w:rsid w:val="7D596D6C"/>
    <w:rsid w:val="7D787E00"/>
    <w:rsid w:val="7D9F1826"/>
    <w:rsid w:val="7DAB0F40"/>
    <w:rsid w:val="7DAF234C"/>
    <w:rsid w:val="7DBB0DEA"/>
    <w:rsid w:val="7DCA65AC"/>
    <w:rsid w:val="7DE329CE"/>
    <w:rsid w:val="7E3A03D7"/>
    <w:rsid w:val="7E3A13EE"/>
    <w:rsid w:val="7E453A68"/>
    <w:rsid w:val="7E680042"/>
    <w:rsid w:val="7E932E70"/>
    <w:rsid w:val="7EA741D8"/>
    <w:rsid w:val="7EBB3930"/>
    <w:rsid w:val="7EE94CBB"/>
    <w:rsid w:val="7F0A197B"/>
    <w:rsid w:val="7F2BFCB7"/>
    <w:rsid w:val="7F37016E"/>
    <w:rsid w:val="7F4D72D7"/>
    <w:rsid w:val="7F686EE0"/>
    <w:rsid w:val="7F7F802B"/>
    <w:rsid w:val="7FAD7090"/>
    <w:rsid w:val="7FC72019"/>
    <w:rsid w:val="7FD8148D"/>
    <w:rsid w:val="7FFD97C6"/>
    <w:rsid w:val="9FBEB730"/>
    <w:rsid w:val="A78D3D74"/>
    <w:rsid w:val="DAFD08E4"/>
    <w:rsid w:val="DB7D4618"/>
    <w:rsid w:val="DFC7280B"/>
    <w:rsid w:val="FCFE343A"/>
    <w:rsid w:val="FEFFB2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link w:val="47"/>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2">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8">
    <w:name w:val="Body Text"/>
    <w:basedOn w:val="1"/>
    <w:next w:val="1"/>
    <w:qFormat/>
    <w:uiPriority w:val="0"/>
    <w:pPr>
      <w:spacing w:after="120"/>
    </w:p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index 4"/>
    <w:basedOn w:val="1"/>
    <w:next w:val="1"/>
    <w:unhideWhenUsed/>
    <w:qFormat/>
    <w:uiPriority w:val="99"/>
    <w:pPr>
      <w:ind w:left="600" w:leftChars="600"/>
    </w:pPr>
  </w:style>
  <w:style w:type="paragraph" w:styleId="13">
    <w:name w:val="Plain Text"/>
    <w:basedOn w:val="1"/>
    <w:qFormat/>
    <w:uiPriority w:val="0"/>
    <w:rPr>
      <w:rFonts w:ascii="宋体" w:eastAsia="宋体" w:cs="Courier New"/>
      <w:szCs w:val="21"/>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next w:val="1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8"/>
    <w:next w:val="1"/>
    <w:qFormat/>
    <w:uiPriority w:val="0"/>
    <w:pPr>
      <w:ind w:firstLine="420" w:firstLineChars="100"/>
    </w:pPr>
    <w:rPr>
      <w:rFonts w:ascii="宋体" w:hAnsi="Courier New"/>
      <w:kern w:val="0"/>
      <w:sz w:val="20"/>
      <w:szCs w:val="21"/>
    </w:r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800080"/>
      <w:u w:val="single"/>
    </w:rPr>
  </w:style>
  <w:style w:type="character" w:styleId="26">
    <w:name w:val="Hyperlink"/>
    <w:basedOn w:val="23"/>
    <w:unhideWhenUsed/>
    <w:qFormat/>
    <w:uiPriority w:val="99"/>
    <w:rPr>
      <w:color w:val="0000FF"/>
      <w:u w:val="single"/>
    </w:rPr>
  </w:style>
  <w:style w:type="paragraph" w:customStyle="1" w:styleId="27">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14"/>
    <w:qFormat/>
    <w:uiPriority w:val="99"/>
    <w:rPr>
      <w:sz w:val="18"/>
      <w:szCs w:val="18"/>
    </w:rPr>
  </w:style>
  <w:style w:type="paragraph" w:customStyle="1"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customStyle="1"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paragraph" w:customStyle="1" w:styleId="44">
    <w:name w:val="Normal_0"/>
    <w:qFormat/>
    <w:uiPriority w:val="0"/>
    <w:rPr>
      <w:rFonts w:eastAsia="Times New Roman" w:asciiTheme="minorHAnsi" w:hAnsiTheme="minorHAnsi" w:cstheme="minorBidi"/>
      <w:sz w:val="24"/>
      <w:szCs w:val="24"/>
      <w:lang w:val="en-US" w:eastAsia="zh-CN" w:bidi="ar-SA"/>
    </w:rPr>
  </w:style>
  <w:style w:type="paragraph" w:customStyle="1" w:styleId="4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47">
    <w:name w:val="标题 2 Char1"/>
    <w:link w:val="4"/>
    <w:qFormat/>
    <w:uiPriority w:val="9"/>
    <w:rPr>
      <w:rFonts w:ascii="Cambria" w:hAnsi="Cambria" w:eastAsia="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14166</Words>
  <Characters>14974</Characters>
  <Lines>1</Lines>
  <Paragraphs>1</Paragraphs>
  <TotalTime>9</TotalTime>
  <ScaleCrop>false</ScaleCrop>
  <LinksUpToDate>false</LinksUpToDate>
  <CharactersWithSpaces>16303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2020-03-12T05:45:00Z</dcterms:created>
  <dc:creator>Zeng Bin Fan</dc:creator>
  <cp:lastModifiedBy>Administrator</cp:lastModifiedBy>
  <dcterms:modified xsi:type="dcterms:W3CDTF">2023-12-16T08:47:44Z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5832611CBA4841C0A4D00133D377B9AA_13</vt:lpwstr>
  </property>
</Properties>
</file>