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ind w:left="1807" w:hanging="1807" w:hangingChars="500"/>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b/>
          <w:bCs/>
          <w:sz w:val="32"/>
          <w:szCs w:val="32"/>
          <w:lang w:val="en-US" w:eastAsia="zh-CN"/>
        </w:rPr>
        <w:t>钦保机动车检测线扩建项目设计服务</w:t>
      </w:r>
    </w:p>
    <w:p>
      <w:pPr>
        <w:rPr>
          <w:rFonts w:ascii="宋体" w:hAnsi="宋体" w:eastAsia="宋体" w:cs="宋体"/>
          <w:b/>
          <w:bCs/>
          <w:sz w:val="36"/>
          <w:szCs w:val="36"/>
        </w:rPr>
      </w:pPr>
      <w:r>
        <w:rPr>
          <w:rFonts w:hint="eastAsia" w:ascii="宋体" w:hAnsi="宋体" w:eastAsia="宋体" w:cs="宋体"/>
          <w:b/>
          <w:bCs/>
          <w:sz w:val="36"/>
          <w:szCs w:val="36"/>
          <w:u w:val="none"/>
        </w:rPr>
        <w:t>采购人：</w:t>
      </w:r>
      <w:r>
        <w:rPr>
          <w:rFonts w:hint="eastAsia"/>
          <w:b/>
          <w:bCs/>
          <w:sz w:val="32"/>
          <w:szCs w:val="32"/>
          <w:lang w:val="en-US" w:eastAsia="zh-CN"/>
        </w:rPr>
        <w:t>广西自贸区钦保机动车检测有限公司</w:t>
      </w: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2023</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10</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u w:val="single"/>
          <w:lang w:val="en-US" w:eastAsia="zh-CN"/>
        </w:rPr>
        <w:t>钦保机动车检测线扩建项目设计服务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rPr>
        <w:t>10</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25</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9</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none"/>
          <w:lang w:val="en-US" w:eastAsia="zh-CN"/>
        </w:rPr>
        <w:t>钦保机动车检测线扩建项目设计服务</w:t>
      </w:r>
    </w:p>
    <w:p>
      <w:pPr>
        <w:pStyle w:val="8"/>
      </w:pPr>
      <w:r>
        <w:rPr>
          <w:rFonts w:hint="eastAsia"/>
        </w:rPr>
        <w:t xml:space="preserve"> </w:t>
      </w:r>
      <w:r>
        <w:t xml:space="preserve">   </w:t>
      </w:r>
      <w:r>
        <w:rPr>
          <w:rFonts w:hint="eastAsia" w:ascii="宋体" w:hAnsi="宋体" w:eastAsia="宋体" w:cs="宋体"/>
          <w:bCs/>
          <w:szCs w:val="24"/>
        </w:rPr>
        <w:t>采购方式：综合评估法</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定标方式：满足采购文件的实质要求</w:t>
      </w:r>
      <w:r>
        <w:rPr>
          <w:rFonts w:hint="eastAsia" w:ascii="宋体" w:hAnsi="宋体" w:eastAsia="宋体" w:cs="宋体"/>
          <w:sz w:val="24"/>
          <w:szCs w:val="24"/>
          <w:lang w:bidi="zh-CN"/>
        </w:rPr>
        <w:t>且最终得分最高的原则确定成交服务商。</w:t>
      </w:r>
    </w:p>
    <w:p>
      <w:pPr>
        <w:ind w:firstLine="480" w:firstLineChars="200"/>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柒万叁仟</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73000</w:t>
      </w:r>
      <w:r>
        <w:rPr>
          <w:rFonts w:hint="eastAsia" w:ascii="宋体" w:hAnsi="宋体" w:eastAsia="宋体" w:cs="宋体"/>
          <w:sz w:val="24"/>
          <w:szCs w:val="24"/>
        </w:rPr>
        <w:t>元）</w:t>
      </w:r>
    </w:p>
    <w:p>
      <w:pPr>
        <w:ind w:firstLine="480" w:firstLineChars="200"/>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柒万叁仟</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73000</w:t>
      </w:r>
      <w:r>
        <w:rPr>
          <w:rFonts w:hint="eastAsia" w:ascii="宋体" w:hAnsi="宋体" w:eastAsia="宋体" w:cs="宋体"/>
          <w:sz w:val="24"/>
          <w:szCs w:val="24"/>
        </w:rPr>
        <w:t>元）</w:t>
      </w:r>
    </w:p>
    <w:p>
      <w:pPr>
        <w:pStyle w:val="20"/>
        <w:keepNext w:val="0"/>
        <w:keepLines w:val="0"/>
        <w:widowControl/>
        <w:suppressLineNumbers w:val="0"/>
        <w:spacing w:before="0" w:beforeAutospacing="0" w:after="0" w:afterAutospacing="0"/>
        <w:ind w:lef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采购需求：方案设计及施工图设计。</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合同履行期限：自签订合同至工程竣工验收合格止</w:t>
      </w:r>
      <w:r>
        <w:rPr>
          <w:rFonts w:hint="eastAsia" w:ascii="宋体" w:hAnsi="宋体"/>
          <w:sz w:val="24"/>
        </w:rPr>
        <w:t>。</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房建</w:t>
      </w:r>
      <w:r>
        <w:rPr>
          <w:rFonts w:hint="eastAsia" w:ascii="宋体" w:hAnsi="宋体" w:eastAsia="宋体" w:cs="宋体"/>
          <w:bCs/>
          <w:color w:val="FF0000"/>
          <w:sz w:val="24"/>
        </w:rPr>
        <w:t>行业专业乙级设计及以上或</w:t>
      </w:r>
      <w:r>
        <w:rPr>
          <w:rFonts w:hint="eastAsia" w:ascii="宋体" w:hAnsi="宋体" w:eastAsia="宋体" w:cs="宋体"/>
          <w:bCs/>
          <w:color w:val="FF0000"/>
          <w:sz w:val="24"/>
          <w:lang w:val="en-US" w:eastAsia="zh-CN"/>
        </w:rPr>
        <w:t>房建</w:t>
      </w:r>
      <w:r>
        <w:rPr>
          <w:rFonts w:hint="eastAsia" w:ascii="宋体" w:hAnsi="宋体" w:eastAsia="宋体" w:cs="宋体"/>
          <w:bCs/>
          <w:color w:val="FF0000"/>
          <w:sz w:val="24"/>
        </w:rPr>
        <w:t>行业乙级设计及以上或工程设计综合甲级；</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）近</w:t>
      </w:r>
      <w:r>
        <w:rPr>
          <w:rFonts w:ascii="Times New Roman" w:hAnsi="Times New Roman" w:eastAsia="宋体" w:cs="Times New Roman"/>
          <w:bCs/>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年内具有相应或类似的工程业绩，并附上相应的合同复印件，需提供</w:t>
      </w:r>
      <w:r>
        <w:rPr>
          <w:rFonts w:hint="eastAsia" w:ascii="Times New Roman" w:hAnsi="Times New Roman" w:eastAsia="宋体" w:cs="Times New Roman"/>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个及以上的工程业绩。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19</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24</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24</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25</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9</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bookmarkStart w:id="6" w:name="_GoBack"/>
      <w:bookmarkEnd w:id="6"/>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名称：</w:t>
      </w:r>
      <w:r>
        <w:rPr>
          <w:rFonts w:ascii="undefined" w:hAnsi="undefined" w:eastAsia="undefined" w:cs="undefined"/>
          <w:u w:val="single"/>
        </w:rPr>
        <w:t>广西自贸区钦保机动车检测有限公司</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firstLineChars="200"/>
        <w:jc w:val="left"/>
        <w:textAlignment w:val="auto"/>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中国（广西）自由贸易试验区钦州港片区钦州综合保税区三号路与港区八大街交汇处棉纺产业园车间三西南侧</w:t>
      </w:r>
    </w:p>
    <w:p>
      <w:pPr>
        <w:pStyle w:val="20"/>
        <w:keepNext w:val="0"/>
        <w:keepLines w:val="0"/>
        <w:widowControl/>
        <w:suppressLineNumbers w:val="0"/>
        <w:spacing w:before="0" w:beforeAutospacing="0" w:after="0" w:afterAutospacing="0"/>
        <w:ind w:left="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Cs/>
          <w:sz w:val="24"/>
          <w:szCs w:val="24"/>
          <w:u w:val="single"/>
        </w:rPr>
        <w:t>18377788044</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ascii="Times New Roman" w:hAnsi="Times New Roman" w:eastAsia="宋体" w:cs="Times New Roman"/>
                <w:bCs/>
                <w:szCs w:val="21"/>
              </w:rPr>
              <w:t>1</w:t>
            </w:r>
            <w:r>
              <w:rPr>
                <w:rFonts w:hint="eastAsia" w:ascii="宋体" w:hAnsi="宋体" w:eastAsia="宋体" w:cs="宋体"/>
                <w:bCs/>
                <w:szCs w:val="21"/>
              </w:rPr>
              <w:t>.交付使用期：自签订合同至工程竣工验收合格止</w:t>
            </w:r>
            <w:r>
              <w:rPr>
                <w:rFonts w:hint="eastAsia" w:ascii="宋体" w:hAnsi="宋体"/>
                <w:sz w:val="24"/>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spacing w:before="0" w:beforeAutospacing="1" w:after="0" w:afterAutospacing="1"/>
              <w:rPr>
                <w:rFonts w:ascii="宋体" w:hAnsi="宋体" w:eastAsia="宋体" w:cs="宋体"/>
                <w:szCs w:val="21"/>
              </w:rPr>
            </w:pPr>
            <w:r>
              <w:rPr>
                <w:rFonts w:hint="eastAsia" w:hAnsi="宋体" w:eastAsia="宋体"/>
                <w:kern w:val="0"/>
                <w:szCs w:val="21"/>
              </w:rPr>
              <w:t>本工程无预付款。</w:t>
            </w:r>
            <w:r>
              <w:rPr>
                <w:rFonts w:ascii="宋体" w:hAnsi="宋体" w:eastAsia="宋体" w:cs="宋体"/>
                <w:sz w:val="24"/>
                <w:szCs w:val="24"/>
              </w:rPr>
              <w:t>“提交方案设计成果支付30%，提交施工图支付60%，工程竣工验收后支付10%”</w:t>
            </w:r>
          </w:p>
          <w:p>
            <w:pPr>
              <w:keepNext w:val="0"/>
              <w:keepLines w:val="0"/>
              <w:widowControl/>
              <w:numPr>
                <w:ilvl w:val="0"/>
                <w:numId w:val="3"/>
              </w:numPr>
              <w:suppressLineNumbers w:val="0"/>
              <w:spacing w:before="0" w:beforeAutospacing="1" w:after="0" w:afterAutospacing="1"/>
              <w:rPr>
                <w:rFonts w:ascii="宋体" w:hAnsi="宋体" w:eastAsia="宋体" w:cs="宋体"/>
                <w:szCs w:val="21"/>
              </w:rPr>
            </w:pPr>
            <w:r>
              <w:rPr>
                <w:rFonts w:hint="eastAsia" w:hAnsi="宋体" w:eastAsia="宋体"/>
                <w:kern w:val="0"/>
                <w:szCs w:val="21"/>
              </w:rPr>
              <w:t>采购人</w:t>
            </w:r>
            <w:r>
              <w:rPr>
                <w:rFonts w:hint="eastAsia" w:ascii="宋体" w:hAnsi="宋体" w:eastAsia="宋体" w:cs="Times New Roman"/>
                <w:kern w:val="0"/>
                <w:szCs w:val="21"/>
              </w:rPr>
              <w:t>付款前，</w:t>
            </w:r>
            <w:r>
              <w:rPr>
                <w:rFonts w:hint="eastAsia" w:ascii="宋体" w:hAnsi="宋体" w:eastAsia="宋体" w:cs="宋体"/>
                <w:szCs w:val="21"/>
              </w:rPr>
              <w:t>成交人</w:t>
            </w:r>
            <w:r>
              <w:rPr>
                <w:rFonts w:hint="eastAsia" w:ascii="宋体" w:hAnsi="宋体" w:eastAsia="宋体" w:cs="Times New Roman"/>
                <w:kern w:val="0"/>
                <w:szCs w:val="21"/>
              </w:rPr>
              <w:t>应向</w:t>
            </w:r>
            <w:r>
              <w:rPr>
                <w:rFonts w:hint="eastAsia" w:hAnsi="宋体" w:eastAsia="宋体"/>
                <w:kern w:val="0"/>
                <w:szCs w:val="21"/>
              </w:rPr>
              <w:t>采购人</w:t>
            </w:r>
            <w:r>
              <w:rPr>
                <w:rFonts w:hint="eastAsia" w:ascii="宋体" w:hAnsi="宋体" w:eastAsia="宋体" w:cs="Times New Roman"/>
                <w:kern w:val="0"/>
                <w:szCs w:val="21"/>
              </w:rPr>
              <w:t>提交书面付款申请（说明应付款的理由、金额、收款账户等）及增值税专用发票，否则</w:t>
            </w:r>
            <w:r>
              <w:rPr>
                <w:rFonts w:hint="eastAsia" w:hAnsi="宋体" w:eastAsia="宋体"/>
                <w:kern w:val="0"/>
                <w:szCs w:val="21"/>
              </w:rPr>
              <w:t>采购人</w:t>
            </w:r>
            <w:r>
              <w:rPr>
                <w:rFonts w:hint="eastAsia" w:ascii="宋体" w:hAnsi="宋体" w:eastAsia="宋体" w:cs="Times New Roman"/>
                <w:kern w:val="0"/>
                <w:szCs w:val="21"/>
              </w:rPr>
              <w:t>有权拒绝付款，且不构成违约。</w:t>
            </w:r>
          </w:p>
          <w:p>
            <w:pPr>
              <w:widowControl/>
              <w:adjustRightInd w:val="0"/>
              <w:snapToGrid w:val="0"/>
              <w:jc w:val="lef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第三章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rPr>
                <w:rFonts w:hAnsi="宋体" w:cs="宋体"/>
              </w:rPr>
            </w:pPr>
            <w:r>
              <w:rPr>
                <w:rFonts w:hint="eastAsia" w:hAnsi="宋体" w:cs="宋体"/>
              </w:rPr>
              <w:t>采购人：</w:t>
            </w:r>
            <w:r>
              <w:rPr>
                <w:rFonts w:ascii="undefined" w:hAnsi="undefined" w:eastAsia="undefined" w:cs="undefined"/>
                <w:u w:val="none"/>
              </w:rPr>
              <w:t>广西自贸区钦保机动车检测有限公司</w:t>
            </w:r>
          </w:p>
          <w:p>
            <w:pPr>
              <w:pStyle w:val="12"/>
              <w:spacing w:line="360" w:lineRule="exact"/>
              <w:rPr>
                <w:rFonts w:hint="eastAsia" w:hAnsi="宋体" w:eastAsia="宋体" w:cs="宋体"/>
                <w:lang w:eastAsia="zh-CN"/>
              </w:rPr>
            </w:pPr>
            <w:r>
              <w:rPr>
                <w:rFonts w:hint="eastAsia" w:hAnsi="宋体" w:cs="宋体"/>
              </w:rPr>
              <w:t>项目联系人：</w:t>
            </w:r>
            <w:r>
              <w:rPr>
                <w:rFonts w:hint="eastAsia" w:hAnsi="宋体" w:cs="宋体"/>
                <w:lang w:val="en-US" w:eastAsia="zh-CN"/>
              </w:rPr>
              <w:t>刘海文</w:t>
            </w:r>
          </w:p>
          <w:p>
            <w:pPr>
              <w:pStyle w:val="12"/>
              <w:spacing w:line="360" w:lineRule="exact"/>
              <w:rPr>
                <w:rFonts w:hAnsi="宋体" w:cs="宋体"/>
              </w:rPr>
            </w:pPr>
            <w:r>
              <w:rPr>
                <w:rFonts w:hint="eastAsia" w:hAnsi="宋体" w:cs="宋体"/>
              </w:rPr>
              <w:t>电话：</w:t>
            </w:r>
            <w:r>
              <w:rPr>
                <w:rFonts w:hint="eastAsia" w:ascii="宋体" w:hAnsi="宋体" w:eastAsia="宋体" w:cs="宋体"/>
                <w:bCs/>
                <w:sz w:val="24"/>
                <w:szCs w:val="24"/>
                <w:u w:val="none"/>
              </w:rPr>
              <w:t>18377788044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spacing w:line="360" w:lineRule="exact"/>
              <w:rPr>
                <w:rFonts w:hAnsi="宋体" w:cs="宋体"/>
              </w:rPr>
            </w:pPr>
            <w:r>
              <w:rPr>
                <w:rFonts w:hint="eastAsia" w:ascii="宋体" w:hAnsi="宋体" w:eastAsia="宋体" w:cs="宋体"/>
                <w:sz w:val="24"/>
                <w:szCs w:val="24"/>
                <w:lang w:val="en-US" w:eastAsia="zh-CN"/>
              </w:rPr>
              <w:t>钦保机动车检测线扩建项目设计服务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柒万叁仟</w:t>
            </w:r>
            <w:r>
              <w:rPr>
                <w:rFonts w:hint="eastAsia" w:ascii="宋体" w:hAnsi="宋体" w:eastAsia="宋体" w:cs="宋体"/>
                <w:sz w:val="24"/>
                <w:szCs w:val="24"/>
              </w:rPr>
              <w:t>元整元整（￥：</w:t>
            </w:r>
            <w:r>
              <w:rPr>
                <w:rFonts w:hint="eastAsia" w:ascii="Times New Roman" w:hAnsi="Times New Roman" w:eastAsia="宋体" w:cs="Times New Roman"/>
                <w:sz w:val="24"/>
                <w:szCs w:val="24"/>
                <w:lang w:val="en-US" w:eastAsia="zh-CN"/>
              </w:rPr>
              <w:t>73000</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柒万叁仟</w:t>
            </w:r>
            <w:r>
              <w:rPr>
                <w:rFonts w:hint="eastAsia" w:ascii="宋体" w:hAnsi="宋体" w:eastAsia="宋体" w:cs="宋体"/>
                <w:sz w:val="24"/>
                <w:szCs w:val="24"/>
              </w:rPr>
              <w:t>元整元整（￥：</w:t>
            </w:r>
            <w:r>
              <w:rPr>
                <w:rFonts w:hint="eastAsia" w:ascii="Times New Roman" w:hAnsi="Times New Roman" w:eastAsia="宋体" w:cs="Times New Roman"/>
                <w:sz w:val="24"/>
                <w:szCs w:val="24"/>
                <w:lang w:val="en-US" w:eastAsia="zh-CN"/>
              </w:rPr>
              <w:t>73000</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pPr>
              <w:pStyle w:val="20"/>
              <w:keepNext w:val="0"/>
              <w:keepLines w:val="0"/>
              <w:widowControl/>
              <w:suppressLineNumbers w:val="0"/>
              <w:spacing w:before="0" w:beforeAutospacing="0" w:after="0" w:afterAutospacing="0"/>
              <w:ind w:left="0" w:firstLine="480" w:firstLineChars="200"/>
              <w:jc w:val="left"/>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）房建行业专业乙级设计及以上或房建行业乙级设计及以上或工程设计综合甲级；</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）近</w:t>
            </w:r>
            <w:r>
              <w:rPr>
                <w:rFonts w:ascii="Times New Roman" w:hAnsi="Times New Roman" w:eastAsia="宋体" w:cs="Times New Roman"/>
                <w:bCs/>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年内具有相应或类似的工程业绩，并附上相应的合同复印件，需提供</w:t>
            </w:r>
            <w:r>
              <w:rPr>
                <w:rFonts w:hint="eastAsia" w:ascii="Times New Roman" w:hAnsi="Times New Roman" w:eastAsia="宋体" w:cs="Times New Roman"/>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个及以上的工程业绩。</w:t>
            </w:r>
          </w:p>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jc w:val="left"/>
              <w:rPr>
                <w:rFonts w:hAnsi="宋体" w:cs="宋体"/>
                <w:spacing w:val="6"/>
                <w:kern w:val="48"/>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b/>
                <w:bCs/>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hAnsi="宋体" w:eastAsia="宋体" w:cs="宋体"/>
                <w:lang w:val="en-US" w:eastAsia="zh-CN"/>
              </w:rPr>
            </w:pPr>
            <w:r>
              <w:rPr>
                <w:rFonts w:hint="eastAsia" w:ascii="Times New Roman" w:hAnsi="Times New Roman" w:cs="Times New Roman"/>
                <w:lang w:val="en-US" w:eastAsia="zh-CN"/>
              </w:rPr>
              <w:t>16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r>
        <w:rPr>
          <w:szCs w:val="24"/>
        </w:rPr>
        <w:br w:type="page"/>
      </w:r>
    </w:p>
    <w:p>
      <w:pPr>
        <w:pStyle w:val="40"/>
        <w:spacing w:after="312"/>
        <w:rPr>
          <w:rFonts w:hint="default"/>
        </w:rPr>
      </w:pPr>
      <w:r>
        <w:t>第四章  评审办法</w:t>
      </w:r>
    </w:p>
    <w:p>
      <w:pPr>
        <w:pStyle w:val="42"/>
        <w:spacing w:before="156" w:after="156"/>
        <w:rPr>
          <w:rFonts w:hint="default"/>
        </w:rPr>
      </w:pPr>
      <w:r>
        <w:rPr>
          <w:rFonts w:hint="default" w:ascii="Times New Roman" w:hAnsi="Times New Roman" w:cs="Times New Roman"/>
        </w:rPr>
        <w:t>16</w:t>
      </w:r>
      <w:r>
        <w:t>.评审委员会的构成</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本采购项目的评审委员会分别由依法组成的评审专家、采购人代表等三人以上单数组成，其中专家人数不少于成员总数的三分之二。</w:t>
      </w:r>
    </w:p>
    <w:p>
      <w:pPr>
        <w:pStyle w:val="42"/>
        <w:spacing w:before="156" w:after="156"/>
        <w:rPr>
          <w:rFonts w:hint="default"/>
        </w:rPr>
      </w:pPr>
      <w:r>
        <w:rPr>
          <w:rFonts w:hint="default" w:ascii="Times New Roman" w:hAnsi="Times New Roman" w:cs="Times New Roman"/>
        </w:rPr>
        <w:t>17</w:t>
      </w:r>
      <w:r>
        <w:t>.评审依据</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pPr>
        <w:pStyle w:val="42"/>
        <w:spacing w:before="156" w:after="156"/>
        <w:rPr>
          <w:rFonts w:hint="default"/>
        </w:rPr>
      </w:pPr>
      <w:r>
        <w:rPr>
          <w:rFonts w:hint="default" w:ascii="Times New Roman" w:hAnsi="Times New Roman" w:cs="Times New Roman"/>
        </w:rPr>
        <w:t>18</w:t>
      </w:r>
      <w:r>
        <w:t>.评审方法</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服务商。</w:t>
      </w:r>
    </w:p>
    <w:p>
      <w:pPr>
        <w:pStyle w:val="42"/>
        <w:spacing w:before="156" w:after="156"/>
        <w:rPr>
          <w:rFonts w:hint="default"/>
        </w:rPr>
      </w:pPr>
      <w:r>
        <w:rPr>
          <w:rFonts w:hint="default" w:ascii="Times New Roman" w:hAnsi="Times New Roman" w:cs="Times New Roman"/>
        </w:rPr>
        <w:t>19</w:t>
      </w:r>
      <w:r>
        <w:t>.成交候选服务商推荐原则</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在质量和服务均能满足采购文件实质性响应要求的前提下，评审委员会将按得分由高到低顺序推荐</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pPr>
        <w:pStyle w:val="42"/>
        <w:spacing w:before="156" w:after="156"/>
        <w:rPr>
          <w:rFonts w:hint="default"/>
        </w:rPr>
      </w:pPr>
      <w:r>
        <w:rPr>
          <w:rFonts w:hint="default" w:ascii="Times New Roman" w:hAnsi="Times New Roman" w:cs="Times New Roman"/>
        </w:rPr>
        <w:t>20</w:t>
      </w:r>
      <w:r>
        <w:t>.评分标准</w:t>
      </w:r>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序号</w:t>
            </w:r>
          </w:p>
        </w:tc>
        <w:tc>
          <w:tcPr>
            <w:tcW w:w="3122" w:type="dxa"/>
            <w:gridSpan w:val="2"/>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评分内容</w:t>
            </w:r>
          </w:p>
        </w:tc>
        <w:tc>
          <w:tcPr>
            <w:tcW w:w="5435"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1</w:t>
            </w:r>
          </w:p>
        </w:tc>
        <w:tc>
          <w:tcPr>
            <w:tcW w:w="3122" w:type="dxa"/>
            <w:gridSpan w:val="2"/>
            <w:vMerge w:val="restart"/>
            <w:vAlign w:val="center"/>
          </w:tcPr>
          <w:p>
            <w:pPr>
              <w:spacing w:line="400" w:lineRule="exact"/>
              <w:jc w:val="center"/>
              <w:rPr>
                <w:color w:val="FF0000"/>
                <w:szCs w:val="21"/>
              </w:rPr>
            </w:pPr>
            <w:r>
              <w:rPr>
                <w:rFonts w:ascii="宋体" w:hAnsi="宋体" w:eastAsia="宋体" w:cs="宋体"/>
                <w:szCs w:val="21"/>
              </w:rPr>
              <w:t>资格评审标准</w:t>
            </w:r>
          </w:p>
        </w:tc>
        <w:tc>
          <w:tcPr>
            <w:tcW w:w="5435" w:type="dxa"/>
            <w:vAlign w:val="center"/>
          </w:tcPr>
          <w:p>
            <w:pPr>
              <w:spacing w:line="400" w:lineRule="exact"/>
              <w:jc w:val="left"/>
              <w:rPr>
                <w:rFonts w:ascii="宋体" w:hAnsi="宋体" w:eastAsia="宋体" w:cs="宋体"/>
                <w:bCs/>
                <w:color w:val="FF0000"/>
                <w:szCs w:val="21"/>
              </w:rPr>
            </w:pPr>
            <w:r>
              <w:rPr>
                <w:rFonts w:hint="eastAsia" w:ascii="宋体" w:hAnsi="宋体" w:eastAsia="宋体" w:cs="宋体"/>
                <w:color w:val="FF0000"/>
                <w:szCs w:val="21"/>
                <w:lang w:val="en-US" w:eastAsia="zh-CN"/>
              </w:rPr>
              <w:t>竞标人应</w:t>
            </w:r>
            <w:r>
              <w:rPr>
                <w:rFonts w:hint="eastAsia" w:ascii="宋体" w:hAnsi="宋体" w:eastAsia="宋体" w:cs="宋体"/>
                <w:color w:val="FF0000"/>
                <w:szCs w:val="21"/>
              </w:rPr>
              <w:t>具备</w:t>
            </w:r>
            <w:r>
              <w:rPr>
                <w:rFonts w:hint="eastAsia" w:ascii="宋体" w:hAnsi="宋体" w:eastAsia="宋体" w:cs="宋体"/>
                <w:color w:val="FF0000"/>
                <w:szCs w:val="21"/>
                <w:lang w:val="en-US" w:eastAsia="zh-CN"/>
              </w:rPr>
              <w:t>有效的</w:t>
            </w:r>
            <w:r>
              <w:rPr>
                <w:rFonts w:hint="eastAsia" w:ascii="宋体" w:hAnsi="宋体" w:eastAsia="宋体" w:cs="宋体"/>
                <w:color w:val="FF0000"/>
                <w:szCs w:val="21"/>
              </w:rPr>
              <w:t>营业执照，并与</w:t>
            </w:r>
            <w:r>
              <w:rPr>
                <w:rFonts w:hint="eastAsia" w:ascii="宋体" w:hAnsi="宋体" w:eastAsia="宋体" w:cs="宋体"/>
                <w:color w:val="FF0000"/>
                <w:szCs w:val="21"/>
                <w:lang w:val="en-US" w:eastAsia="zh-CN"/>
              </w:rPr>
              <w:t>资质证书单位</w:t>
            </w:r>
            <w:r>
              <w:rPr>
                <w:rFonts w:hint="eastAsia" w:ascii="宋体" w:hAnsi="宋体" w:eastAsia="宋体" w:cs="宋体"/>
                <w:color w:val="FF0000"/>
                <w:szCs w:val="21"/>
              </w:rPr>
              <w:t>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2</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pStyle w:val="12"/>
              <w:spacing w:line="360" w:lineRule="exact"/>
              <w:rPr>
                <w:rFonts w:hAnsi="宋体" w:cs="宋体"/>
                <w:color w:val="FF0000"/>
              </w:rPr>
            </w:pPr>
            <w:r>
              <w:rPr>
                <w:rFonts w:hint="eastAsia" w:hAnsi="宋体" w:cs="宋体"/>
                <w:color w:val="FF0000"/>
              </w:rPr>
              <w:t>具备以下资质或资格条件任意一项：</w:t>
            </w:r>
          </w:p>
          <w:p>
            <w:pPr>
              <w:pStyle w:val="12"/>
              <w:spacing w:line="360" w:lineRule="exact"/>
              <w:rPr>
                <w:rFonts w:hAnsi="宋体" w:cs="宋体"/>
                <w:color w:val="FF0000"/>
                <w:spacing w:val="6"/>
                <w:kern w:val="48"/>
              </w:rPr>
            </w:pPr>
            <w:r>
              <w:rPr>
                <w:rFonts w:ascii="Times New Roman" w:hAnsi="Times New Roman" w:cs="Times New Roman"/>
                <w:color w:val="FF0000"/>
                <w:spacing w:val="6"/>
                <w:kern w:val="48"/>
              </w:rPr>
              <w:t>1</w:t>
            </w:r>
            <w:r>
              <w:rPr>
                <w:rFonts w:hint="eastAsia" w:hAnsi="宋体" w:cs="宋体"/>
                <w:color w:val="FF0000"/>
                <w:spacing w:val="6"/>
                <w:kern w:val="48"/>
              </w:rPr>
              <w:t>.资质要求：</w:t>
            </w:r>
            <w:r>
              <w:rPr>
                <w:rFonts w:hint="eastAsia" w:hAnsi="宋体" w:cs="宋体"/>
                <w:color w:val="FF0000"/>
                <w:spacing w:val="6"/>
                <w:kern w:val="48"/>
                <w:lang w:val="en-US" w:eastAsia="zh-CN"/>
              </w:rPr>
              <w:t>竞</w:t>
            </w:r>
            <w:r>
              <w:rPr>
                <w:rFonts w:hint="eastAsia" w:hAnsi="宋体" w:cs="宋体"/>
                <w:color w:val="FF0000"/>
                <w:spacing w:val="6"/>
                <w:kern w:val="48"/>
              </w:rPr>
              <w:t>标人须具有建设行政主管部门颁发的</w:t>
            </w:r>
            <w:r>
              <w:rPr>
                <w:rFonts w:hint="eastAsia" w:hAnsi="宋体" w:cs="宋体"/>
                <w:color w:val="FF0000"/>
                <w:spacing w:val="6"/>
                <w:kern w:val="48"/>
                <w:lang w:val="en-US" w:eastAsia="zh-CN"/>
              </w:rPr>
              <w:t>房建</w:t>
            </w:r>
            <w:r>
              <w:rPr>
                <w:rFonts w:hint="eastAsia" w:hAnsi="宋体" w:cs="宋体"/>
                <w:color w:val="FF0000"/>
                <w:spacing w:val="6"/>
                <w:kern w:val="48"/>
              </w:rPr>
              <w:t>行业（给水工程）专业乙级设计及以上或</w:t>
            </w:r>
            <w:r>
              <w:rPr>
                <w:rFonts w:hint="eastAsia" w:hAnsi="宋体" w:cs="宋体"/>
                <w:color w:val="FF0000"/>
                <w:spacing w:val="6"/>
                <w:kern w:val="48"/>
                <w:lang w:val="en-US" w:eastAsia="zh-CN"/>
              </w:rPr>
              <w:t>房建</w:t>
            </w:r>
            <w:r>
              <w:rPr>
                <w:rFonts w:hint="eastAsia" w:hAnsi="宋体" w:cs="宋体"/>
                <w:color w:val="FF0000"/>
                <w:spacing w:val="6"/>
                <w:kern w:val="48"/>
              </w:rPr>
              <w:t>行业乙级设计及以上或工程设计综合甲级设计资质，并在人员组成方面具有相应的设计能力。</w:t>
            </w:r>
          </w:p>
          <w:p>
            <w:pPr>
              <w:pStyle w:val="12"/>
              <w:spacing w:line="360" w:lineRule="exact"/>
              <w:jc w:val="left"/>
              <w:rPr>
                <w:rFonts w:hAnsi="宋体" w:cs="宋体"/>
                <w:bCs/>
                <w:color w:val="FF0000"/>
              </w:rPr>
            </w:pPr>
            <w:r>
              <w:rPr>
                <w:rFonts w:hint="eastAsia" w:ascii="Times New Roman" w:hAnsi="Times New Roman" w:cs="Times New Roman"/>
                <w:color w:val="FF0000"/>
                <w:spacing w:val="6"/>
                <w:kern w:val="48"/>
              </w:rPr>
              <w:t>2</w:t>
            </w:r>
            <w:r>
              <w:rPr>
                <w:rFonts w:hint="eastAsia" w:hAnsi="宋体" w:cs="宋体"/>
                <w:color w:val="FF0000"/>
                <w:spacing w:val="6"/>
                <w:kern w:val="48"/>
              </w:rPr>
              <w:t>.拟派项目负责人须具有工程设计上岗证和中级以上（含中级）工程师职称。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3</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spacing w:line="400" w:lineRule="exact"/>
              <w:jc w:val="left"/>
              <w:rPr>
                <w:rFonts w:ascii="宋体" w:hAnsi="宋体" w:eastAsia="宋体" w:cs="宋体"/>
                <w:bCs/>
                <w:color w:val="FF0000"/>
                <w:szCs w:val="21"/>
              </w:rPr>
            </w:pPr>
            <w:r>
              <w:rPr>
                <w:rFonts w:hint="eastAsia" w:ascii="宋体" w:hAnsi="宋体" w:eastAsia="宋体" w:cs="宋体"/>
                <w:color w:val="FF0000"/>
                <w:szCs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4</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pStyle w:val="48"/>
              <w:widowControl w:val="0"/>
              <w:jc w:val="both"/>
              <w:rPr>
                <w:rFonts w:ascii="宋体" w:hAnsi="宋体" w:eastAsia="宋体" w:cs="宋体"/>
                <w:color w:val="FF0000"/>
                <w:sz w:val="21"/>
                <w:szCs w:val="21"/>
              </w:rPr>
            </w:pPr>
            <w:r>
              <w:rPr>
                <w:rFonts w:hint="eastAsia" w:ascii="宋体" w:hAnsi="宋体" w:eastAsia="宋体" w:cs="宋体"/>
                <w:color w:val="FF0000"/>
                <w:sz w:val="21"/>
                <w:szCs w:val="21"/>
              </w:rPr>
              <w:t>未被“信用中国”（www.creditchina.gov.cn）、中国政府采购网（www.ccgp.gov.cn）列入失信被执行人、重大税收违法案件当事人名单、政府采购严重违法失信行为记录名单。</w:t>
            </w:r>
          </w:p>
          <w:p>
            <w:pPr>
              <w:spacing w:line="400" w:lineRule="exact"/>
              <w:jc w:val="left"/>
              <w:rPr>
                <w:rFonts w:ascii="宋体" w:hAnsi="宋体" w:eastAsia="宋体" w:cs="宋体"/>
                <w:bCs/>
                <w:color w:val="FF0000"/>
                <w:szCs w:val="21"/>
              </w:rPr>
            </w:pPr>
            <w:r>
              <w:rPr>
                <w:rFonts w:hint="eastAsia" w:ascii="宋体" w:hAnsi="宋体" w:eastAsia="宋体" w:cs="宋体"/>
                <w:b/>
                <w:bCs/>
                <w:color w:val="FF0000"/>
                <w:szCs w:val="21"/>
              </w:rPr>
              <w:t>[服务商参加政府采购活动前三年内在经营活动中没有重大违法记录或不良信用记录的书面声明</w:t>
            </w:r>
            <w:r>
              <w:rPr>
                <w:rFonts w:hint="eastAsia" w:ascii="宋体" w:hAnsi="宋体" w:eastAsia="宋体" w:cs="宋体"/>
                <w:color w:val="FF0000"/>
                <w:szCs w:val="21"/>
              </w:rPr>
              <w:t>（注：重大违法记录，是指服务商因违法经营受到刑事处罚或者责令停产停业、吊销许可证或者执照、较大数额罚款等行政处罚。服务商如有重大违法记录和不良信用记录情况的，请如实反映）]。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spacing w:line="400" w:lineRule="exact"/>
              <w:jc w:val="center"/>
              <w:rPr>
                <w:rFonts w:ascii="Times New Roman" w:hAnsi="Times New Roman" w:eastAsia="宋体" w:cs="Times New Roman"/>
                <w:bCs/>
                <w:szCs w:val="21"/>
              </w:rPr>
            </w:pPr>
            <w:r>
              <w:rPr>
                <w:rFonts w:hint="eastAsia" w:ascii="宋体" w:hAnsi="宋体" w:eastAsia="宋体" w:cs="宋体"/>
                <w:bCs/>
                <w:szCs w:val="21"/>
              </w:rPr>
              <w:t>序号</w:t>
            </w:r>
          </w:p>
        </w:tc>
        <w:tc>
          <w:tcPr>
            <w:tcW w:w="2209" w:type="dxa"/>
            <w:vAlign w:val="center"/>
          </w:tcPr>
          <w:p>
            <w:pPr>
              <w:spacing w:line="400" w:lineRule="exact"/>
              <w:ind w:firstLine="420" w:firstLineChars="200"/>
              <w:rPr>
                <w:rFonts w:ascii="宋体" w:hAnsi="宋体" w:eastAsia="宋体" w:cs="宋体"/>
                <w:szCs w:val="21"/>
              </w:rPr>
            </w:pPr>
            <w:r>
              <w:rPr>
                <w:rFonts w:hint="eastAsia" w:ascii="宋体" w:hAnsi="宋体" w:eastAsia="宋体" w:cs="宋体"/>
                <w:bCs/>
                <w:szCs w:val="21"/>
              </w:rPr>
              <w:t>评分内容</w:t>
            </w:r>
          </w:p>
        </w:tc>
        <w:tc>
          <w:tcPr>
            <w:tcW w:w="913" w:type="dxa"/>
            <w:vAlign w:val="center"/>
          </w:tcPr>
          <w:p>
            <w:pPr>
              <w:spacing w:line="400" w:lineRule="exact"/>
              <w:jc w:val="center"/>
              <w:rPr>
                <w:rFonts w:ascii="Times New Roman" w:hAnsi="Times New Roman" w:eastAsia="宋体" w:cs="Times New Roman"/>
                <w:bCs/>
                <w:szCs w:val="21"/>
              </w:rPr>
            </w:pPr>
            <w:r>
              <w:rPr>
                <w:rFonts w:hint="eastAsia" w:ascii="宋体" w:hAnsi="宋体" w:eastAsia="宋体" w:cs="宋体"/>
                <w:bCs/>
                <w:szCs w:val="21"/>
              </w:rPr>
              <w:t>分值</w:t>
            </w:r>
          </w:p>
        </w:tc>
        <w:tc>
          <w:tcPr>
            <w:tcW w:w="5435" w:type="dxa"/>
            <w:vAlign w:val="center"/>
          </w:tcPr>
          <w:p>
            <w:pPr>
              <w:spacing w:line="400" w:lineRule="exact"/>
              <w:jc w:val="center"/>
              <w:rPr>
                <w:rFonts w:ascii="宋体" w:hAnsi="宋体" w:eastAsia="宋体" w:cs="宋体"/>
                <w:szCs w:val="21"/>
              </w:rPr>
            </w:pPr>
            <w:r>
              <w:rPr>
                <w:rFonts w:hint="eastAsia" w:ascii="宋体" w:hAnsi="宋体" w:eastAsia="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5</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szCs w:val="21"/>
              </w:rPr>
              <w:t>服务实施方案</w:t>
            </w:r>
          </w:p>
        </w:tc>
        <w:tc>
          <w:tcPr>
            <w:tcW w:w="913" w:type="dxa"/>
            <w:vAlign w:val="center"/>
          </w:tcPr>
          <w:p>
            <w:pPr>
              <w:spacing w:line="400" w:lineRule="exact"/>
              <w:jc w:val="center"/>
              <w:rPr>
                <w:rFonts w:ascii="宋体" w:hAnsi="宋体" w:eastAsia="宋体" w:cs="宋体"/>
                <w:bCs/>
                <w:szCs w:val="21"/>
              </w:rPr>
            </w:pPr>
            <w:r>
              <w:rPr>
                <w:rFonts w:hint="eastAsia" w:ascii="Times New Roman" w:hAnsi="Times New Roman" w:eastAsia="宋体" w:cs="Times New Roman"/>
                <w:bCs/>
                <w:szCs w:val="21"/>
              </w:rPr>
              <w:t>30</w:t>
            </w:r>
          </w:p>
        </w:tc>
        <w:tc>
          <w:tcPr>
            <w:tcW w:w="5435" w:type="dxa"/>
          </w:tcPr>
          <w:p>
            <w:pPr>
              <w:spacing w:line="400" w:lineRule="exact"/>
              <w:jc w:val="left"/>
              <w:rPr>
                <w:rFonts w:ascii="宋体" w:hAnsi="宋体" w:eastAsia="宋体" w:cs="宋体"/>
                <w:szCs w:val="21"/>
              </w:rPr>
            </w:pPr>
            <w:r>
              <w:rPr>
                <w:rFonts w:hint="eastAsia" w:ascii="宋体" w:hAnsi="宋体" w:eastAsia="宋体" w:cs="宋体"/>
                <w:szCs w:val="21"/>
              </w:rPr>
              <w:t>三档（</w:t>
            </w:r>
            <w:r>
              <w:rPr>
                <w:rFonts w:hint="eastAsia" w:ascii="Times New Roman" w:hAnsi="Times New Roman" w:eastAsia="宋体" w:cs="Times New Roman"/>
                <w:szCs w:val="21"/>
              </w:rPr>
              <w:t>21</w:t>
            </w:r>
            <w:r>
              <w:rPr>
                <w:rFonts w:hint="eastAsia" w:ascii="宋体" w:hAnsi="宋体" w:eastAsia="宋体" w:cs="宋体"/>
                <w:szCs w:val="21"/>
              </w:rPr>
              <w:t>-</w:t>
            </w:r>
            <w:r>
              <w:rPr>
                <w:rFonts w:hint="eastAsia" w:ascii="Times New Roman" w:hAnsi="Times New Roman" w:eastAsia="宋体" w:cs="Times New Roman"/>
                <w:szCs w:val="21"/>
              </w:rPr>
              <w:t>30</w:t>
            </w:r>
            <w:r>
              <w:rPr>
                <w:rFonts w:hint="eastAsia" w:ascii="宋体" w:hAnsi="宋体" w:eastAsia="宋体" w:cs="宋体"/>
                <w:szCs w:val="21"/>
              </w:rPr>
              <w:t xml:space="preserve"> 分）：对项目的理解到位，分析深入；对项目的采购需求认识清晰，有深度；对项目全过程跟踪审核的目标明确；对各阶段各环节有清晰的工作思路、工作流程；整体方案条理清晰，可操作性很强。</w:t>
            </w:r>
          </w:p>
          <w:p>
            <w:pPr>
              <w:spacing w:line="400" w:lineRule="exact"/>
              <w:jc w:val="left"/>
              <w:rPr>
                <w:rFonts w:ascii="宋体" w:hAnsi="宋体" w:eastAsia="宋体" w:cs="宋体"/>
                <w:szCs w:val="21"/>
              </w:rPr>
            </w:pPr>
            <w:r>
              <w:rPr>
                <w:rFonts w:hint="eastAsia" w:ascii="宋体" w:hAnsi="宋体" w:eastAsia="宋体" w:cs="宋体"/>
                <w:szCs w:val="21"/>
              </w:rPr>
              <w:t>二档（</w:t>
            </w:r>
            <w:r>
              <w:rPr>
                <w:rFonts w:hint="eastAsia" w:ascii="Times New Roman" w:hAnsi="Times New Roman" w:eastAsia="宋体" w:cs="Times New Roman"/>
                <w:szCs w:val="21"/>
              </w:rPr>
              <w:t>11</w:t>
            </w:r>
            <w:r>
              <w:rPr>
                <w:rFonts w:hint="eastAsia" w:ascii="宋体" w:hAnsi="宋体" w:eastAsia="宋体" w:cs="宋体"/>
                <w:szCs w:val="21"/>
              </w:rPr>
              <w:t>-</w:t>
            </w:r>
            <w:r>
              <w:rPr>
                <w:rFonts w:hint="eastAsia" w:ascii="Times New Roman" w:hAnsi="Times New Roman" w:eastAsia="宋体" w:cs="Times New Roman"/>
                <w:szCs w:val="21"/>
              </w:rPr>
              <w:t>20</w:t>
            </w:r>
            <w:r>
              <w:rPr>
                <w:rFonts w:hint="eastAsia" w:ascii="宋体" w:hAnsi="宋体" w:eastAsia="宋体" w:cs="宋体"/>
                <w:szCs w:val="21"/>
              </w:rPr>
              <w:t>分）：对项目的理解、分析一般；对项目的采购需求认识一般；对项目全过程跟踪审核的目标明确一般；对各阶段各环节的工作思路、工作流程清晰度一般；整体方案条理一般，可操作性一般。</w:t>
            </w:r>
          </w:p>
          <w:p>
            <w:pPr>
              <w:spacing w:line="400" w:lineRule="exact"/>
              <w:jc w:val="left"/>
              <w:rPr>
                <w:rFonts w:ascii="宋体" w:hAnsi="宋体" w:eastAsia="宋体" w:cs="宋体"/>
                <w:bCs/>
                <w:szCs w:val="21"/>
              </w:rPr>
            </w:pPr>
            <w:r>
              <w:rPr>
                <w:rFonts w:hint="eastAsia" w:ascii="宋体" w:hAnsi="宋体" w:eastAsia="宋体" w:cs="宋体"/>
                <w:szCs w:val="21"/>
              </w:rPr>
              <w:t>一档（</w:t>
            </w:r>
            <w:r>
              <w:rPr>
                <w:rFonts w:ascii="Times New Roman" w:hAnsi="Times New Roman" w:eastAsia="宋体" w:cs="Times New Roman"/>
                <w:szCs w:val="21"/>
              </w:rPr>
              <w:t>1</w:t>
            </w:r>
            <w:r>
              <w:rPr>
                <w:rFonts w:hint="eastAsia" w:ascii="宋体" w:hAnsi="宋体" w:eastAsia="宋体" w:cs="宋体"/>
                <w:szCs w:val="21"/>
              </w:rPr>
              <w:t>-</w:t>
            </w:r>
            <w:r>
              <w:rPr>
                <w:rFonts w:hint="eastAsia" w:ascii="Times New Roman" w:hAnsi="Times New Roman" w:eastAsia="宋体" w:cs="Times New Roman"/>
                <w:szCs w:val="21"/>
              </w:rPr>
              <w:t>10</w:t>
            </w:r>
            <w:r>
              <w:rPr>
                <w:rFonts w:hint="eastAsia" w:ascii="宋体" w:hAnsi="宋体" w:eastAsia="宋体" w:cs="宋体"/>
                <w:szCs w:val="21"/>
              </w:rPr>
              <w:t>分）：对项目的理解、分析粗略；对项目的采购需求认识不明确、不全；对项目全过程跟踪审核的目标、工作思路、工作流程等很简单；整体方案凌乱，大部分可操作性不确定或不可行。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6</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szCs w:val="21"/>
              </w:rPr>
              <w:t>工作实施进度计划和保证措施</w:t>
            </w:r>
          </w:p>
        </w:tc>
        <w:tc>
          <w:tcPr>
            <w:tcW w:w="913"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15</w:t>
            </w:r>
          </w:p>
        </w:tc>
        <w:tc>
          <w:tcPr>
            <w:tcW w:w="5435" w:type="dxa"/>
            <w:vAlign w:val="center"/>
          </w:tcPr>
          <w:p>
            <w:pPr>
              <w:spacing w:line="400" w:lineRule="exact"/>
              <w:jc w:val="left"/>
              <w:rPr>
                <w:rFonts w:ascii="宋体" w:hAnsi="宋体" w:eastAsia="宋体" w:cs="宋体"/>
                <w:szCs w:val="21"/>
              </w:rPr>
            </w:pPr>
            <w:r>
              <w:rPr>
                <w:rFonts w:hint="eastAsia" w:ascii="宋体" w:hAnsi="宋体" w:eastAsia="宋体" w:cs="宋体"/>
                <w:szCs w:val="21"/>
              </w:rPr>
              <w:t>三档（</w:t>
            </w:r>
            <w:r>
              <w:rPr>
                <w:rFonts w:ascii="Times New Roman" w:hAnsi="Times New Roman" w:eastAsia="宋体" w:cs="Times New Roman"/>
                <w:szCs w:val="21"/>
              </w:rPr>
              <w:t>11</w:t>
            </w:r>
            <w:r>
              <w:rPr>
                <w:rFonts w:hint="eastAsia" w:ascii="宋体" w:hAnsi="宋体" w:eastAsia="宋体" w:cs="宋体"/>
                <w:szCs w:val="21"/>
              </w:rPr>
              <w:t>-</w:t>
            </w:r>
            <w:r>
              <w:rPr>
                <w:rFonts w:ascii="Times New Roman" w:hAnsi="Times New Roman" w:eastAsia="宋体" w:cs="Times New Roman"/>
                <w:szCs w:val="21"/>
              </w:rPr>
              <w:t>15</w:t>
            </w:r>
            <w:r>
              <w:rPr>
                <w:rFonts w:hint="eastAsia" w:ascii="宋体" w:hAnsi="宋体" w:eastAsia="宋体" w:cs="宋体"/>
                <w:szCs w:val="21"/>
              </w:rPr>
              <w:t>分）：进度控制方案满足本项目建设要求，进度计划科学合理；节点或阶段进度目标明确；进度控制点设置合理，重点明确，控制措施与手段可靠有力。</w:t>
            </w:r>
          </w:p>
          <w:p>
            <w:pPr>
              <w:spacing w:line="400" w:lineRule="exact"/>
              <w:jc w:val="left"/>
              <w:rPr>
                <w:rFonts w:ascii="宋体" w:hAnsi="宋体" w:eastAsia="宋体" w:cs="宋体"/>
                <w:szCs w:val="21"/>
              </w:rPr>
            </w:pPr>
            <w:r>
              <w:rPr>
                <w:rFonts w:hint="eastAsia" w:ascii="宋体" w:hAnsi="宋体" w:eastAsia="宋体" w:cs="宋体"/>
                <w:szCs w:val="21"/>
              </w:rPr>
              <w:t>二档（</w:t>
            </w:r>
            <w:r>
              <w:rPr>
                <w:rFonts w:ascii="Times New Roman" w:hAnsi="Times New Roman" w:eastAsia="宋体" w:cs="Times New Roman"/>
                <w:szCs w:val="21"/>
              </w:rPr>
              <w:t>6</w:t>
            </w:r>
            <w:r>
              <w:rPr>
                <w:rFonts w:hint="eastAsia" w:ascii="宋体" w:hAnsi="宋体" w:eastAsia="宋体" w:cs="宋体"/>
                <w:szCs w:val="21"/>
              </w:rPr>
              <w:t>-</w:t>
            </w:r>
            <w:r>
              <w:rPr>
                <w:rFonts w:ascii="Times New Roman" w:hAnsi="Times New Roman" w:eastAsia="宋体" w:cs="Times New Roman"/>
                <w:szCs w:val="21"/>
              </w:rPr>
              <w:t>10</w:t>
            </w:r>
            <w:r>
              <w:rPr>
                <w:rFonts w:hint="eastAsia" w:ascii="宋体" w:hAnsi="宋体" w:eastAsia="宋体" w:cs="宋体"/>
                <w:szCs w:val="21"/>
              </w:rPr>
              <w:t>分）：进度控制方案较满足本项目建设要求，进度计划较合理；节点或阶段进度目标较明确；进度控制点设置较合理，重点较明确，控制措施与手段比较可行。</w:t>
            </w:r>
          </w:p>
          <w:p>
            <w:pPr>
              <w:spacing w:line="400" w:lineRule="exact"/>
              <w:jc w:val="left"/>
              <w:rPr>
                <w:rFonts w:ascii="宋体" w:hAnsi="宋体" w:eastAsia="宋体" w:cs="宋体"/>
                <w:bCs/>
                <w:szCs w:val="21"/>
              </w:rPr>
            </w:pPr>
            <w:r>
              <w:rPr>
                <w:rFonts w:hint="eastAsia" w:ascii="宋体" w:hAnsi="宋体" w:eastAsia="宋体" w:cs="宋体"/>
                <w:szCs w:val="21"/>
              </w:rPr>
              <w:t>一档（</w:t>
            </w:r>
            <w:r>
              <w:rPr>
                <w:rFonts w:ascii="Times New Roman" w:hAnsi="Times New Roman" w:eastAsia="宋体" w:cs="Times New Roman"/>
                <w:szCs w:val="21"/>
              </w:rPr>
              <w:t>1</w:t>
            </w:r>
            <w:r>
              <w:rPr>
                <w:rFonts w:hint="eastAsia" w:ascii="宋体" w:hAnsi="宋体" w:eastAsia="宋体" w:cs="宋体"/>
                <w:szCs w:val="21"/>
              </w:rPr>
              <w:t>-</w:t>
            </w:r>
            <w:r>
              <w:rPr>
                <w:rFonts w:ascii="Times New Roman" w:hAnsi="Times New Roman" w:eastAsia="宋体" w:cs="Times New Roman"/>
                <w:szCs w:val="21"/>
              </w:rPr>
              <w:t>5</w:t>
            </w:r>
            <w:r>
              <w:rPr>
                <w:rFonts w:hint="eastAsia" w:ascii="宋体" w:hAnsi="宋体" w:eastAsia="宋体" w:cs="宋体"/>
                <w:szCs w:val="21"/>
              </w:rPr>
              <w:t>分）：进度控制方案基本满足本项目建设要求，进度计划基本合理；节点或阶段进度目标基本明确；进度控制点设置基本合理，重点基本明确，控制措施与手段基本可行。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7</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竞标报价</w:t>
            </w:r>
          </w:p>
        </w:tc>
        <w:tc>
          <w:tcPr>
            <w:tcW w:w="913"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40</w:t>
            </w:r>
          </w:p>
        </w:tc>
        <w:tc>
          <w:tcPr>
            <w:tcW w:w="5435" w:type="dxa"/>
            <w:vAlign w:val="center"/>
          </w:tcPr>
          <w:p>
            <w:pPr>
              <w:spacing w:line="400" w:lineRule="exact"/>
              <w:rPr>
                <w:rFonts w:ascii="宋体" w:hAnsi="宋体" w:eastAsia="宋体" w:cs="宋体"/>
                <w:bCs/>
                <w:szCs w:val="21"/>
              </w:rPr>
            </w:pPr>
            <w:r>
              <w:rPr>
                <w:rFonts w:hint="eastAsia" w:ascii="宋体" w:hAnsi="宋体" w:eastAsia="宋体" w:cs="宋体"/>
                <w:bCs/>
                <w:szCs w:val="21"/>
              </w:rPr>
              <w:t>磋商报价得分=（磋商基准价/最后磋商报价）×</w:t>
            </w:r>
            <w:r>
              <w:rPr>
                <w:rFonts w:ascii="Times New Roman" w:hAnsi="Times New Roman" w:eastAsia="宋体" w:cs="Times New Roman"/>
                <w:bCs/>
                <w:szCs w:val="21"/>
              </w:rPr>
              <w:t>40</w:t>
            </w:r>
          </w:p>
          <w:p>
            <w:pPr>
              <w:spacing w:line="400" w:lineRule="exact"/>
              <w:rPr>
                <w:rFonts w:ascii="宋体" w:hAnsi="宋体" w:eastAsia="宋体" w:cs="宋体"/>
                <w:bCs/>
                <w:szCs w:val="21"/>
              </w:rPr>
            </w:pPr>
            <w:r>
              <w:rPr>
                <w:rFonts w:hint="eastAsia" w:ascii="宋体" w:hAnsi="宋体" w:eastAsia="宋体" w:cs="宋体"/>
                <w:bCs/>
                <w:szCs w:val="21"/>
              </w:rPr>
              <w:t>注：服务商提供有效报价的平均值作为评标基准价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8</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项目经验</w:t>
            </w:r>
          </w:p>
        </w:tc>
        <w:tc>
          <w:tcPr>
            <w:tcW w:w="913"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5</w:t>
            </w:r>
          </w:p>
        </w:tc>
        <w:tc>
          <w:tcPr>
            <w:tcW w:w="5435" w:type="dxa"/>
            <w:vAlign w:val="center"/>
          </w:tcPr>
          <w:p>
            <w:pPr>
              <w:spacing w:line="400" w:lineRule="exact"/>
              <w:jc w:val="left"/>
              <w:rPr>
                <w:rFonts w:ascii="宋体" w:hAnsi="宋体" w:eastAsia="宋体" w:cs="宋体"/>
                <w:bCs/>
                <w:szCs w:val="21"/>
              </w:rPr>
            </w:pPr>
            <w:r>
              <w:rPr>
                <w:rFonts w:hint="eastAsia" w:ascii="宋体" w:hAnsi="宋体" w:eastAsia="宋体" w:cs="宋体"/>
                <w:bCs/>
                <w:szCs w:val="21"/>
              </w:rPr>
              <w:t>每提供一个类似项目合同得</w:t>
            </w:r>
            <w:r>
              <w:rPr>
                <w:rFonts w:hint="eastAsia" w:ascii="Times New Roman" w:hAnsi="Times New Roman" w:eastAsia="宋体" w:cs="Times New Roman"/>
                <w:bCs/>
                <w:szCs w:val="21"/>
              </w:rPr>
              <w:t>3</w:t>
            </w:r>
            <w:r>
              <w:rPr>
                <w:rFonts w:hint="eastAsia" w:ascii="宋体" w:hAnsi="宋体" w:eastAsia="宋体" w:cs="宋体"/>
                <w:bCs/>
                <w:szCs w:val="21"/>
              </w:rPr>
              <w:t>分，满分</w:t>
            </w:r>
            <w:r>
              <w:rPr>
                <w:rFonts w:hint="eastAsia" w:ascii="Times New Roman" w:hAnsi="Times New Roman" w:eastAsia="宋体" w:cs="Times New Roman"/>
                <w:bCs/>
                <w:szCs w:val="21"/>
              </w:rPr>
              <w:t>15</w:t>
            </w:r>
            <w:r>
              <w:rPr>
                <w:rFonts w:hint="eastAsia" w:ascii="宋体" w:hAnsi="宋体" w:eastAsia="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合计</w:t>
            </w:r>
          </w:p>
        </w:tc>
        <w:tc>
          <w:tcPr>
            <w:tcW w:w="913" w:type="dxa"/>
            <w:vAlign w:val="center"/>
          </w:tcPr>
          <w:p>
            <w:pPr>
              <w:spacing w:line="400" w:lineRule="exact"/>
              <w:jc w:val="center"/>
              <w:rPr>
                <w:rFonts w:ascii="宋体" w:hAnsi="宋体" w:eastAsia="宋体" w:cs="宋体"/>
                <w:bCs/>
                <w:szCs w:val="21"/>
              </w:rPr>
            </w:pPr>
            <w:r>
              <w:rPr>
                <w:rFonts w:ascii="Times New Roman" w:hAnsi="Times New Roman" w:eastAsia="宋体" w:cs="Times New Roman"/>
                <w:bCs/>
                <w:szCs w:val="21"/>
              </w:rPr>
              <w:t>100</w:t>
            </w:r>
          </w:p>
        </w:tc>
        <w:tc>
          <w:tcPr>
            <w:tcW w:w="5435" w:type="dxa"/>
            <w:vAlign w:val="center"/>
          </w:tcPr>
          <w:p>
            <w:pPr>
              <w:spacing w:line="400" w:lineRule="exact"/>
              <w:jc w:val="left"/>
              <w:rPr>
                <w:rFonts w:ascii="宋体" w:hAnsi="宋体" w:eastAsia="宋体" w:cs="宋体"/>
                <w:bCs/>
                <w:szCs w:val="21"/>
              </w:rPr>
            </w:pPr>
          </w:p>
        </w:tc>
      </w:tr>
    </w:tbl>
    <w:p>
      <w:pPr>
        <w:pStyle w:val="2"/>
        <w:numPr>
          <w:ilvl w:val="0"/>
          <w:numId w:val="0"/>
        </w:numPr>
        <w:jc w:val="both"/>
      </w:pPr>
    </w:p>
    <w:p>
      <w:pPr>
        <w:spacing w:line="400" w:lineRule="exact"/>
        <w:rPr>
          <w:rFonts w:ascii="宋体" w:hAnsi="宋体" w:eastAsia="宋体" w:cs="宋体"/>
          <w:bCs/>
          <w:sz w:val="24"/>
          <w:szCs w:val="24"/>
        </w:rPr>
      </w:pPr>
    </w:p>
    <w:p>
      <w:pPr>
        <w:ind w:firstLine="420" w:firstLineChars="200"/>
      </w:pPr>
    </w:p>
    <w:p>
      <w:pPr>
        <w:pStyle w:val="40"/>
        <w:spacing w:after="312"/>
        <w:rPr>
          <w:rFonts w:hint="default"/>
        </w:rPr>
      </w:pPr>
    </w:p>
    <w:p>
      <w:pPr>
        <w:pStyle w:val="40"/>
        <w:spacing w:after="312"/>
        <w:rPr>
          <w:rFonts w:hint="default"/>
        </w:rPr>
      </w:pPr>
    </w:p>
    <w:p/>
    <w:p>
      <w:pPr>
        <w:pStyle w:val="8"/>
      </w:pPr>
    </w:p>
    <w:p/>
    <w:p>
      <w:pPr>
        <w:pStyle w:val="8"/>
      </w:pPr>
    </w:p>
    <w:p>
      <w:pPr>
        <w:rPr>
          <w:rFonts w:hint="eastAsia"/>
        </w:rPr>
      </w:pPr>
    </w:p>
    <w:p>
      <w:pPr>
        <w:pStyle w:val="8"/>
        <w:rPr>
          <w:rFonts w:hint="eastAsia"/>
        </w:rPr>
      </w:pPr>
    </w:p>
    <w:p/>
    <w:p>
      <w:pPr>
        <w:pStyle w:val="8"/>
      </w:pPr>
    </w:p>
    <w:p/>
    <w:p>
      <w:pPr>
        <w:pStyle w:val="8"/>
      </w:pPr>
    </w:p>
    <w:p/>
    <w:p>
      <w:pPr>
        <w:pStyle w:val="8"/>
      </w:pPr>
    </w:p>
    <w:p/>
    <w:p/>
    <w:p>
      <w:pPr>
        <w:spacing w:after="312"/>
      </w:pPr>
      <w:r>
        <w:br w:type="page"/>
      </w:r>
    </w:p>
    <w:p>
      <w:pPr>
        <w:pStyle w:val="40"/>
        <w:spacing w:after="312"/>
        <w:rPr>
          <w:rFonts w:hint="default"/>
        </w:rPr>
      </w:pPr>
      <w:r>
        <w:t>第五章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516"/>
      <w:bookmarkStart w:id="1" w:name="_Toc30694"/>
      <w:bookmarkStart w:id="2" w:name="_Toc31728084"/>
      <w:bookmarkStart w:id="3" w:name="_Toc35611438"/>
      <w:bookmarkStart w:id="4" w:name="_Toc44229899"/>
      <w:bookmarkStart w:id="5" w:name="_Toc31723070"/>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项目的竞标，为便于贵方公正、择优的确定成交服务商及其竞标产品和服务，我方就本次竞标有关事项郑重声明如下：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帐号：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widowControl/>
        <w:suppressLineNumbers w:val="0"/>
        <w:spacing w:before="0" w:beforeAutospacing="0" w:after="0" w:afterAutospacing="0"/>
        <w:ind w:left="0" w:firstLine="0"/>
        <w:jc w:val="left"/>
      </w:pPr>
      <w:r>
        <w:rPr>
          <w:rFonts w:hint="eastAsia" w:ascii="宋体" w:hAnsi="宋体" w:eastAsia="宋体" w:cs="宋体"/>
          <w:sz w:val="28"/>
          <w:szCs w:val="28"/>
        </w:rPr>
        <w:t>项目名称：钦保机动车检测线扩建项目设计服务</w:t>
      </w:r>
    </w:p>
    <w:p/>
    <w:p>
      <w:pPr>
        <w:pStyle w:val="8"/>
      </w:pPr>
    </w:p>
    <w:p/>
    <w:p>
      <w:pPr>
        <w:pStyle w:val="8"/>
      </w:pPr>
    </w:p>
    <w:p/>
    <w:p>
      <w:pPr>
        <w:pStyle w:val="8"/>
      </w:pP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undefined">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6CD2B65E"/>
    <w:multiLevelType w:val="singleLevel"/>
    <w:tmpl w:val="6CD2B65E"/>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ZmE4NWE3ZTc3OGU5YjdkZmMwYmZkYzQxMzFmYTM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434AD7"/>
    <w:rsid w:val="0A875AA6"/>
    <w:rsid w:val="0A9C2B56"/>
    <w:rsid w:val="0AA05B9A"/>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8758AD"/>
    <w:rsid w:val="13A148A6"/>
    <w:rsid w:val="13BD05D6"/>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1F618A"/>
    <w:rsid w:val="162C5573"/>
    <w:rsid w:val="163F084C"/>
    <w:rsid w:val="167772FE"/>
    <w:rsid w:val="16A73FF1"/>
    <w:rsid w:val="16CA640B"/>
    <w:rsid w:val="16CE2DF1"/>
    <w:rsid w:val="16F2389F"/>
    <w:rsid w:val="175244AC"/>
    <w:rsid w:val="17555A0A"/>
    <w:rsid w:val="175F32E3"/>
    <w:rsid w:val="176A0626"/>
    <w:rsid w:val="176A6CA5"/>
    <w:rsid w:val="176B3553"/>
    <w:rsid w:val="177F7607"/>
    <w:rsid w:val="179C3018"/>
    <w:rsid w:val="17BC51A7"/>
    <w:rsid w:val="17E22F5C"/>
    <w:rsid w:val="17EE5248"/>
    <w:rsid w:val="17F3167D"/>
    <w:rsid w:val="17FB04B8"/>
    <w:rsid w:val="189C4D3A"/>
    <w:rsid w:val="18A81AF8"/>
    <w:rsid w:val="18DA1C61"/>
    <w:rsid w:val="18EF1C33"/>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A2571F"/>
    <w:rsid w:val="1FAA5CB8"/>
    <w:rsid w:val="20096994"/>
    <w:rsid w:val="200F54C2"/>
    <w:rsid w:val="205A54F3"/>
    <w:rsid w:val="209F2924"/>
    <w:rsid w:val="20B31DCB"/>
    <w:rsid w:val="21077AA6"/>
    <w:rsid w:val="21093804"/>
    <w:rsid w:val="21197F58"/>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A23D8"/>
    <w:rsid w:val="23871813"/>
    <w:rsid w:val="23B20C73"/>
    <w:rsid w:val="240B137D"/>
    <w:rsid w:val="24352F85"/>
    <w:rsid w:val="244A3359"/>
    <w:rsid w:val="253533BF"/>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870264"/>
    <w:rsid w:val="278C47ED"/>
    <w:rsid w:val="27E259BA"/>
    <w:rsid w:val="28CD6169"/>
    <w:rsid w:val="28EC413F"/>
    <w:rsid w:val="290E5506"/>
    <w:rsid w:val="291E415D"/>
    <w:rsid w:val="295E666C"/>
    <w:rsid w:val="297B5976"/>
    <w:rsid w:val="298160F4"/>
    <w:rsid w:val="299037CC"/>
    <w:rsid w:val="29E0554E"/>
    <w:rsid w:val="29F31A76"/>
    <w:rsid w:val="29FC7407"/>
    <w:rsid w:val="2A721527"/>
    <w:rsid w:val="2A747086"/>
    <w:rsid w:val="2A9F138C"/>
    <w:rsid w:val="2ADA6A24"/>
    <w:rsid w:val="2AF56E78"/>
    <w:rsid w:val="2B151288"/>
    <w:rsid w:val="2B2758B4"/>
    <w:rsid w:val="2B5B1A54"/>
    <w:rsid w:val="2B8F6A94"/>
    <w:rsid w:val="2BAC2952"/>
    <w:rsid w:val="2BDC0F46"/>
    <w:rsid w:val="2BE97109"/>
    <w:rsid w:val="2C0D620D"/>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54191"/>
    <w:rsid w:val="2FE057DD"/>
    <w:rsid w:val="2FF8776F"/>
    <w:rsid w:val="302A34F1"/>
    <w:rsid w:val="30343CBE"/>
    <w:rsid w:val="30352292"/>
    <w:rsid w:val="3057388E"/>
    <w:rsid w:val="30713E31"/>
    <w:rsid w:val="309F7328"/>
    <w:rsid w:val="30C01803"/>
    <w:rsid w:val="30E03C78"/>
    <w:rsid w:val="31737A8A"/>
    <w:rsid w:val="31DE7DDE"/>
    <w:rsid w:val="31EF7C74"/>
    <w:rsid w:val="31F15C64"/>
    <w:rsid w:val="32235819"/>
    <w:rsid w:val="3248763B"/>
    <w:rsid w:val="32680FEB"/>
    <w:rsid w:val="33730209"/>
    <w:rsid w:val="33775B8F"/>
    <w:rsid w:val="33975C9A"/>
    <w:rsid w:val="33C21F16"/>
    <w:rsid w:val="33C431D8"/>
    <w:rsid w:val="33CA19D4"/>
    <w:rsid w:val="33F8005C"/>
    <w:rsid w:val="34187FBF"/>
    <w:rsid w:val="342E13FC"/>
    <w:rsid w:val="34386E63"/>
    <w:rsid w:val="343878D7"/>
    <w:rsid w:val="3464597C"/>
    <w:rsid w:val="346D3A4C"/>
    <w:rsid w:val="34726A66"/>
    <w:rsid w:val="34754A52"/>
    <w:rsid w:val="347859D4"/>
    <w:rsid w:val="347F7F77"/>
    <w:rsid w:val="34A66879"/>
    <w:rsid w:val="34CE0DD1"/>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E71E3"/>
    <w:rsid w:val="455F58A4"/>
    <w:rsid w:val="45757188"/>
    <w:rsid w:val="458F08D8"/>
    <w:rsid w:val="45C71D87"/>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34EA3"/>
    <w:rsid w:val="4EAC54CF"/>
    <w:rsid w:val="4EC1060E"/>
    <w:rsid w:val="4EC56875"/>
    <w:rsid w:val="4EFB456B"/>
    <w:rsid w:val="4F513D5F"/>
    <w:rsid w:val="4F58505D"/>
    <w:rsid w:val="4F7312EE"/>
    <w:rsid w:val="4F8F3473"/>
    <w:rsid w:val="4FB43CBE"/>
    <w:rsid w:val="4FE0147F"/>
    <w:rsid w:val="4FF72554"/>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EE7037"/>
    <w:rsid w:val="5FF426CA"/>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9D3A25"/>
    <w:rsid w:val="67D8638F"/>
    <w:rsid w:val="6803353F"/>
    <w:rsid w:val="685607DF"/>
    <w:rsid w:val="685E563F"/>
    <w:rsid w:val="6898128A"/>
    <w:rsid w:val="68B60B5B"/>
    <w:rsid w:val="68D1417E"/>
    <w:rsid w:val="68ED673C"/>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D55F3"/>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1718C"/>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CC5B10"/>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Balloon Text"/>
    <w:basedOn w:val="1"/>
    <w:link w:val="50"/>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next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Body Text First Indent"/>
    <w:basedOn w:val="11"/>
    <w:next w:val="18"/>
    <w:qFormat/>
    <w:uiPriority w:val="0"/>
    <w:pPr>
      <w:ind w:firstLine="420" w:firstLineChars="100"/>
    </w:pPr>
  </w:style>
  <w:style w:type="table" w:styleId="23">
    <w:name w:val="Table Grid"/>
    <w:basedOn w:val="2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qFormat/>
    <w:uiPriority w:val="99"/>
    <w:rPr>
      <w:sz w:val="18"/>
      <w:szCs w:val="18"/>
    </w:rPr>
  </w:style>
  <w:style w:type="character" w:customStyle="1" w:styleId="29">
    <w:name w:val="页脚 Char"/>
    <w:basedOn w:val="24"/>
    <w:link w:val="15"/>
    <w:qFormat/>
    <w:uiPriority w:val="99"/>
    <w:rPr>
      <w:sz w:val="18"/>
      <w:szCs w:val="18"/>
    </w:rPr>
  </w:style>
  <w:style w:type="paragraph" w:styleId="30">
    <w:name w:val="List Paragraph"/>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4"/>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styleId="39">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Lines="50" w:afterLines="0"/>
    </w:pPr>
    <w:rPr>
      <w:sz w:val="28"/>
      <w:szCs w:val="28"/>
    </w:rPr>
  </w:style>
  <w:style w:type="paragraph" w:customStyle="1" w:styleId="42">
    <w:name w:val="采购三"/>
    <w:basedOn w:val="41"/>
    <w:qFormat/>
    <w:uiPriority w:val="0"/>
    <w:pPr>
      <w:spacing w:afterLines="50" w:line="240" w:lineRule="auto"/>
      <w:jc w:val="left"/>
    </w:pPr>
    <w:rPr>
      <w:sz w:val="24"/>
      <w:lang w:bidi="zh-CN"/>
    </w:rPr>
  </w:style>
  <w:style w:type="character" w:customStyle="1" w:styleId="43">
    <w:name w:val="font51"/>
    <w:basedOn w:val="24"/>
    <w:qFormat/>
    <w:uiPriority w:val="0"/>
    <w:rPr>
      <w:rFonts w:hint="eastAsia" w:ascii="宋体" w:hAnsi="宋体" w:eastAsia="宋体" w:cs="宋体"/>
      <w:color w:val="000000"/>
      <w:sz w:val="32"/>
      <w:szCs w:val="32"/>
      <w:u w:val="none"/>
    </w:rPr>
  </w:style>
  <w:style w:type="character" w:customStyle="1" w:styleId="44">
    <w:name w:val="font31"/>
    <w:basedOn w:val="24"/>
    <w:qFormat/>
    <w:uiPriority w:val="0"/>
    <w:rPr>
      <w:rFonts w:ascii="宋体" w:hAnsi="宋体" w:eastAsia="宋体" w:cs="宋体"/>
      <w:color w:val="000000"/>
      <w:sz w:val="32"/>
      <w:szCs w:val="32"/>
      <w:u w:val="single"/>
    </w:rPr>
  </w:style>
  <w:style w:type="character" w:customStyle="1" w:styleId="45">
    <w:name w:val="font21"/>
    <w:basedOn w:val="24"/>
    <w:qFormat/>
    <w:uiPriority w:val="0"/>
    <w:rPr>
      <w:rFonts w:ascii="宋体" w:hAnsi="宋体" w:eastAsia="宋体" w:cs="宋体"/>
      <w:color w:val="000000"/>
      <w:sz w:val="32"/>
      <w:szCs w:val="32"/>
      <w:u w:val="none"/>
    </w:rPr>
  </w:style>
  <w:style w:type="character" w:customStyle="1" w:styleId="46">
    <w:name w:val="font11"/>
    <w:basedOn w:val="24"/>
    <w:qFormat/>
    <w:uiPriority w:val="0"/>
    <w:rPr>
      <w:rFonts w:ascii="Calibri" w:hAnsi="Calibri" w:cs="Calibri"/>
      <w:color w:val="000000"/>
      <w:sz w:val="32"/>
      <w:szCs w:val="32"/>
      <w:u w:val="none"/>
    </w:rPr>
  </w:style>
  <w:style w:type="character" w:customStyle="1" w:styleId="47">
    <w:name w:val="font01"/>
    <w:basedOn w:val="24"/>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 w:type="paragraph" w:customStyle="1" w:styleId="49">
    <w:name w:val="Normal_2"/>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1662</Words>
  <Characters>9474</Characters>
  <Lines>78</Lines>
  <Paragraphs>22</Paragraphs>
  <TotalTime>14</TotalTime>
  <ScaleCrop>false</ScaleCrop>
  <LinksUpToDate>false</LinksUpToDate>
  <CharactersWithSpaces>11114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2023-09-18T02:26:00Z</dcterms:created>
  <dc:creator>Zeng Bin Fan</dc:creator>
  <cp:lastModifiedBy>逆光的微笑</cp:lastModifiedBy>
  <dcterms:modified xsi:type="dcterms:W3CDTF">2023-10-24T08:13:44Z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3A096D7C6F564985B1C4E01AAC86589B_13</vt:lpwstr>
  </property>
</Properties>
</file>