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bookmarkStart w:id="24" w:name="_GoBack"/>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蚂蚁洋货2023年东盟博览会展位设计及搭建工程</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2023年9月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蚂蚁洋货2023年东盟博览会展位设计及搭建工程</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项目名称：蚂蚁洋货2023年东盟博览会展位设计及搭建工程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定标方式：综合评分法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预算金额：人民币叁拾捌万贰仟伍佰元整（￥：</w:t>
      </w:r>
      <w:r>
        <w:rPr>
          <w:rFonts w:hint="eastAsia" w:ascii="Tahoma" w:hAnsi="Tahoma" w:eastAsia="Tahoma" w:cs="Tahoma"/>
          <w:i w:val="0"/>
          <w:iCs w:val="0"/>
          <w:caps w:val="0"/>
          <w:spacing w:val="0"/>
          <w:sz w:val="22"/>
          <w:szCs w:val="22"/>
          <w:shd w:val="clear" w:fill="F2F2F7"/>
          <w:lang w:val="en-US" w:eastAsia="zh-CN"/>
        </w:rPr>
        <w:t>382500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最高限价：人民币叁拾捌万贰仟伍佰元整（￥：</w:t>
      </w:r>
      <w:r>
        <w:rPr>
          <w:rFonts w:hint="eastAsia" w:ascii="Tahoma" w:hAnsi="Tahoma" w:eastAsia="Tahoma" w:cs="Tahoma"/>
          <w:i w:val="0"/>
          <w:iCs w:val="0"/>
          <w:caps w:val="0"/>
          <w:spacing w:val="0"/>
          <w:sz w:val="22"/>
          <w:szCs w:val="22"/>
          <w:shd w:val="clear" w:fill="F2F2F7"/>
          <w:lang w:val="en-US" w:eastAsia="zh-CN"/>
        </w:rPr>
        <w:t>382500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采购需求：2023年蚂蚁洋货东盟博览会225㎡特装展位设计及搭建工程，如需进一步了解详细内容，详见招标文件“第二章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w:t>
      </w:r>
      <w:r>
        <w:rPr>
          <w:rFonts w:hint="eastAsia" w:ascii="宋体" w:hAnsi="宋体" w:eastAsia="宋体" w:cs="宋体"/>
          <w:b w:val="0"/>
          <w:bCs/>
          <w:color w:val="auto"/>
          <w:sz w:val="24"/>
          <w:szCs w:val="24"/>
          <w:highlight w:val="none"/>
          <w:lang w:val="en-US" w:eastAsia="zh-CN"/>
        </w:rPr>
        <w:t>限：</w:t>
      </w:r>
      <w:r>
        <w:rPr>
          <w:rFonts w:hint="eastAsia" w:ascii="宋体" w:hAnsi="宋体" w:eastAsia="宋体" w:cs="宋体"/>
          <w:b w:val="0"/>
          <w:bCs/>
          <w:color w:val="auto"/>
          <w:sz w:val="24"/>
          <w:szCs w:val="24"/>
          <w:highlight w:val="none"/>
          <w:u w:val="single"/>
          <w:lang w:val="en-US" w:eastAsia="zh-CN"/>
        </w:rPr>
        <w:t xml:space="preserve"> 30天 </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bookmarkEnd w:id="24"/>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eastAsia="zh-CN"/>
        </w:rPr>
        <w:t>1</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2023年9月8日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2023年9月8日1</w:t>
      </w:r>
      <w:r>
        <w:rPr>
          <w:rFonts w:hint="default" w:ascii="宋体" w:hAnsi="宋体" w:eastAsia="宋体" w:cs="宋体"/>
          <w:b w:val="0"/>
          <w:bCs/>
          <w:color w:val="FF0000"/>
          <w:sz w:val="24"/>
          <w:szCs w:val="24"/>
          <w:u w:val="single"/>
          <w:lang w:eastAsia="zh-CN"/>
        </w:rPr>
        <w:t>7</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2023年9月</w:t>
      </w:r>
      <w:r>
        <w:rPr>
          <w:rFonts w:hint="default" w:ascii="宋体" w:hAnsi="宋体" w:eastAsia="宋体" w:cs="宋体"/>
          <w:b w:val="0"/>
          <w:bCs/>
          <w:color w:val="FF0000"/>
          <w:sz w:val="24"/>
          <w:szCs w:val="24"/>
          <w:u w:val="single"/>
          <w:lang w:eastAsia="zh-CN"/>
        </w:rPr>
        <w:t>11</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30</w:t>
      </w:r>
      <w:r>
        <w:rPr>
          <w:rFonts w:hint="eastAsia" w:ascii="宋体" w:hAnsi="宋体" w:eastAsia="宋体" w:cs="宋体"/>
          <w:b w:val="0"/>
          <w:bCs/>
          <w:color w:val="FF0000"/>
          <w:sz w:val="24"/>
          <w:szCs w:val="24"/>
          <w:u w:val="single"/>
          <w:lang w:val="en-US" w:eastAsia="zh-CN"/>
        </w:rPr>
        <w:t>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欧女士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19195696252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7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交付及撤展期</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交付使用期：</w:t>
            </w:r>
            <w:r>
              <w:rPr>
                <w:rFonts w:hint="eastAsia" w:ascii="宋体" w:hAnsi="宋体" w:eastAsia="宋体" w:cs="宋体"/>
                <w:bCs/>
                <w:color w:val="auto"/>
                <w:szCs w:val="21"/>
                <w:highlight w:val="none"/>
                <w:lang w:val="en-US" w:eastAsia="zh-CN"/>
              </w:rPr>
              <w:t>2023年9月14日前完成展位设计、布展及交付工作；</w:t>
            </w:r>
          </w:p>
          <w:p>
            <w:pPr>
              <w:numPr>
                <w:ilvl w:val="0"/>
                <w:numId w:val="0"/>
              </w:num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val="en-US" w:eastAsia="zh-CN"/>
              </w:rPr>
              <w:t>2.撤展期：2023年9月20日18：00前完成撤展</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1.本次提供的报价需涵盖展位设计、搭建及用料、撤展等各项费用；</w:t>
            </w:r>
          </w:p>
          <w:p>
            <w:pPr>
              <w:spacing w:line="360" w:lineRule="auto"/>
              <w:rPr>
                <w:rFonts w:hint="default"/>
                <w:lang w:val="en-US" w:eastAsia="zh-CN"/>
              </w:rPr>
            </w:pPr>
            <w:r>
              <w:rPr>
                <w:rFonts w:hint="eastAsia" w:ascii="宋体" w:hAnsi="宋体" w:eastAsia="宋体" w:cs="宋体"/>
                <w:bCs/>
                <w:color w:val="auto"/>
                <w:szCs w:val="21"/>
                <w:highlight w:val="none"/>
                <w:lang w:val="en-US" w:eastAsia="zh-CN"/>
              </w:rPr>
              <w:t>2.需为含税报价，提供合规等额增值税专用发票。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项目执行要求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1.根据采购人需求、结合《第20届中国-东盟博览会参展商手册》完成本次展位设计、搭建布展、撤展工作；</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2.积极配合采购人的工作；</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3.认真贯彻执行参展手册内各项要求和规定，做到文明施工、安全、保质保量如期完成施工任务。</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4.必须严格按照相关法规条文施工作业，注意环保要求：控制噪声，避免不安全因素发生。</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5.保证施工安全作业，加强对施工人员的安全教育及防范措施,确保施工中万无一失; 并负责其施工人员的安全保险</w:t>
            </w:r>
            <w:r>
              <w:rPr>
                <w:rFonts w:hint="default"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eastAsia="zh-Hans"/>
              </w:rPr>
              <w:t>施工过程中</w:t>
            </w:r>
            <w:r>
              <w:rPr>
                <w:rFonts w:hint="default" w:ascii="宋体" w:hAnsi="宋体" w:eastAsia="宋体" w:cs="宋体"/>
                <w:bCs/>
                <w:color w:val="auto"/>
                <w:szCs w:val="21"/>
                <w:highlight w:val="none"/>
                <w:lang w:val="en-US" w:eastAsia="zh-Hans"/>
              </w:rPr>
              <w:t>，</w:t>
            </w:r>
            <w:r>
              <w:rPr>
                <w:rFonts w:hint="eastAsia" w:ascii="宋体" w:hAnsi="宋体" w:eastAsia="宋体" w:cs="宋体"/>
                <w:bCs/>
                <w:color w:val="auto"/>
                <w:szCs w:val="21"/>
                <w:highlight w:val="none"/>
                <w:lang w:val="en-US" w:eastAsia="zh-Hans"/>
              </w:rPr>
              <w:t>因</w:t>
            </w:r>
            <w:r>
              <w:rPr>
                <w:rFonts w:hint="eastAsia" w:ascii="宋体" w:hAnsi="宋体" w:eastAsia="宋体" w:cs="宋体"/>
                <w:bCs/>
                <w:color w:val="auto"/>
                <w:szCs w:val="21"/>
                <w:highlight w:val="none"/>
                <w:lang w:val="en-US" w:eastAsia="zh-CN"/>
              </w:rPr>
              <w:t>施工方</w:t>
            </w:r>
            <w:r>
              <w:rPr>
                <w:rFonts w:hint="eastAsia" w:ascii="宋体" w:hAnsi="宋体" w:eastAsia="宋体" w:cs="宋体"/>
                <w:bCs/>
                <w:color w:val="auto"/>
                <w:szCs w:val="21"/>
                <w:highlight w:val="none"/>
                <w:lang w:val="en-US" w:eastAsia="zh-Hans"/>
              </w:rPr>
              <w:t>施工产生的任何人员</w:t>
            </w:r>
            <w:r>
              <w:rPr>
                <w:rFonts w:hint="default" w:ascii="宋体" w:hAnsi="宋体" w:eastAsia="宋体" w:cs="宋体"/>
                <w:bCs/>
                <w:color w:val="auto"/>
                <w:szCs w:val="21"/>
                <w:highlight w:val="none"/>
                <w:lang w:val="en-US" w:eastAsia="zh-Hans"/>
              </w:rPr>
              <w:t>、</w:t>
            </w:r>
            <w:r>
              <w:rPr>
                <w:rFonts w:hint="eastAsia" w:ascii="宋体" w:hAnsi="宋体" w:eastAsia="宋体" w:cs="宋体"/>
                <w:bCs/>
                <w:color w:val="auto"/>
                <w:szCs w:val="21"/>
                <w:highlight w:val="none"/>
                <w:lang w:val="en-US" w:eastAsia="zh-Hans"/>
              </w:rPr>
              <w:t>财产损害</w:t>
            </w:r>
            <w:r>
              <w:rPr>
                <w:rFonts w:hint="default" w:ascii="宋体" w:hAnsi="宋体" w:eastAsia="宋体" w:cs="宋体"/>
                <w:bCs/>
                <w:color w:val="auto"/>
                <w:szCs w:val="21"/>
                <w:highlight w:val="none"/>
                <w:lang w:val="en-US" w:eastAsia="zh-Hans"/>
              </w:rPr>
              <w:t>，</w:t>
            </w:r>
            <w:r>
              <w:rPr>
                <w:rFonts w:hint="eastAsia" w:ascii="宋体" w:hAnsi="宋体" w:eastAsia="宋体" w:cs="宋体"/>
                <w:bCs/>
                <w:color w:val="auto"/>
                <w:szCs w:val="21"/>
                <w:highlight w:val="none"/>
                <w:lang w:val="en-US" w:eastAsia="zh-Hans"/>
              </w:rPr>
              <w:t>均由</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lang w:val="en-US" w:eastAsia="zh-Hans"/>
              </w:rPr>
              <w:t>承担全部赔偿责任</w:t>
            </w:r>
            <w:r>
              <w:rPr>
                <w:rFonts w:hint="default" w:ascii="宋体" w:hAnsi="宋体" w:eastAsia="宋体" w:cs="宋体"/>
                <w:bCs/>
                <w:color w:val="auto"/>
                <w:szCs w:val="21"/>
                <w:highlight w:val="none"/>
                <w:lang w:val="en-US" w:eastAsia="zh-Hans"/>
              </w:rPr>
              <w:t>，</w:t>
            </w:r>
            <w:r>
              <w:rPr>
                <w:rFonts w:hint="eastAsia" w:ascii="宋体" w:hAnsi="宋体" w:eastAsia="宋体" w:cs="宋体"/>
                <w:bCs/>
                <w:color w:val="auto"/>
                <w:szCs w:val="21"/>
                <w:highlight w:val="none"/>
                <w:lang w:val="en-US" w:eastAsia="zh-Hans"/>
              </w:rPr>
              <w:t>与</w:t>
            </w:r>
            <w:r>
              <w:rPr>
                <w:rFonts w:hint="eastAsia" w:ascii="宋体" w:hAnsi="宋体" w:eastAsia="宋体" w:cs="宋体"/>
                <w:bCs/>
                <w:color w:val="auto"/>
                <w:szCs w:val="21"/>
                <w:highlight w:val="none"/>
                <w:lang w:val="en-US" w:eastAsia="zh-CN"/>
              </w:rPr>
              <w:t>采购人</w:t>
            </w:r>
            <w:r>
              <w:rPr>
                <w:rFonts w:hint="eastAsia" w:ascii="宋体" w:hAnsi="宋体" w:eastAsia="宋体" w:cs="宋体"/>
                <w:bCs/>
                <w:color w:val="auto"/>
                <w:szCs w:val="21"/>
                <w:highlight w:val="none"/>
                <w:lang w:val="en-US" w:eastAsia="zh-Hans"/>
              </w:rPr>
              <w:t>无关</w:t>
            </w:r>
            <w:r>
              <w:rPr>
                <w:rFonts w:hint="eastAsia" w:ascii="宋体" w:hAnsi="宋体" w:eastAsia="宋体" w:cs="宋体"/>
                <w:bCs/>
                <w:color w:val="auto"/>
                <w:szCs w:val="21"/>
                <w:highlight w:val="none"/>
                <w:lang w:val="en-US" w:eastAsia="zh-CN"/>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欧女士</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19195696252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2"/>
              <w:spacing w:line="360" w:lineRule="exact"/>
              <w:rPr>
                <w:rFonts w:hint="eastAsia" w:ascii="宋体" w:hAnsi="宋体" w:eastAsia="宋体" w:cs="宋体"/>
                <w:sz w:val="21"/>
                <w:szCs w:val="21"/>
              </w:rPr>
            </w:pPr>
            <w:r>
              <w:rPr>
                <w:rFonts w:hint="eastAsia" w:ascii="宋体" w:hAnsi="宋体" w:eastAsia="宋体" w:cs="宋体"/>
                <w:b w:val="0"/>
                <w:bCs/>
                <w:sz w:val="21"/>
                <w:szCs w:val="21"/>
                <w:lang w:val="en-US" w:eastAsia="zh-CN"/>
              </w:rPr>
              <w:t>蚂蚁洋货2023年东盟博览会展位设计及搭建工程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人民币叁拾捌万贰仟伍佰元整（￥：382500元）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2"/>
              <w:spacing w:line="360" w:lineRule="exact"/>
              <w:rPr>
                <w:rFonts w:hint="eastAsia" w:ascii="宋体" w:hAnsi="宋体" w:eastAsia="宋体" w:cs="宋体"/>
                <w:sz w:val="21"/>
                <w:szCs w:val="21"/>
              </w:rPr>
            </w:pPr>
            <w:r>
              <w:rPr>
                <w:rFonts w:hint="eastAsia" w:ascii="宋体" w:hAnsi="宋体" w:eastAsia="宋体" w:cs="宋体"/>
                <w:b w:val="0"/>
                <w:bCs/>
                <w:sz w:val="21"/>
                <w:szCs w:val="21"/>
                <w:lang w:val="en-US" w:eastAsia="zh-CN"/>
              </w:rPr>
              <w:t>人民币叁拾捌万贰仟伍佰元整（￥：382500元）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1.供应商应当具备下列条件：</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（1）国内注册有效的营业执照；</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（2）具有独立承担民事责任的能力；</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（3）具有良好的商业信誉和健全的财务会计制度；</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（4）具有履行合同所必需的设备和专业技术能力；</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（5）有依法缴纳税收和社会保障资金的良好记录；</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（6）参加采购活动前三年内，在经营活动中没有重大违法记录；</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（7）法律、行政法规规定的其他条件。</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2.单位负责人为同一人或者存在直接控股、管理关系的不同供应商，不得参加同一合同项下的采购活动。</w:t>
            </w:r>
          </w:p>
          <w:p>
            <w:pPr>
              <w:pStyle w:val="12"/>
              <w:spacing w:line="360" w:lineRule="exact"/>
              <w:rPr>
                <w:rFonts w:hint="eastAsia" w:ascii="宋体" w:hAnsi="宋体" w:eastAsia="宋体" w:cs="宋体"/>
                <w:spacing w:val="6"/>
                <w:kern w:val="48"/>
                <w:highlight w:val="none"/>
              </w:rPr>
            </w:pPr>
            <w:r>
              <w:rPr>
                <w:rFonts w:hint="eastAsia" w:ascii="宋体" w:hAnsi="宋体" w:eastAsia="宋体" w:cs="宋体"/>
                <w:spacing w:val="6"/>
                <w:kern w:val="48"/>
                <w:highlight w:val="none"/>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highlight w:val="none"/>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2"/>
              <w:spacing w:line="360" w:lineRule="exact"/>
              <w:rPr>
                <w:rFonts w:hint="default"/>
              </w:rPr>
            </w:pPr>
            <w:r>
              <w:rPr>
                <w:rFonts w:hint="eastAsia"/>
                <w:lang w:val="en-US" w:eastAsia="zh-CN"/>
              </w:rPr>
              <w:t>响应</w:t>
            </w:r>
            <w:r>
              <w:rPr>
                <w:rFonts w:hint="eastAsia"/>
              </w:rPr>
              <w:t>文件：</w:t>
            </w:r>
            <w:r>
              <w:rPr>
                <w:rFonts w:hint="eastAsia"/>
                <w:b/>
                <w:bCs/>
                <w:color w:val="FF0000"/>
              </w:rPr>
              <w:t>正本1份</w:t>
            </w:r>
            <w:r>
              <w:rPr>
                <w:rFonts w:hint="default"/>
                <w:b/>
                <w:bCs/>
                <w:color w:val="FF0000"/>
              </w:rPr>
              <w:t>，副本两份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000000"/>
        </w:rPr>
      </w:pPr>
      <w:bookmarkStart w:id="0" w:name="_Toc13168"/>
      <w:bookmarkStart w:id="1" w:name="_Toc152042367"/>
      <w:bookmarkStart w:id="2" w:name="_Toc144974557"/>
      <w:bookmarkStart w:id="3" w:name="_Toc179632608"/>
      <w:bookmarkStart w:id="4" w:name="_Toc152045590"/>
      <w:bookmarkStart w:id="5" w:name="_Toc369951717"/>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4"/>
        <w:spacing w:line="380" w:lineRule="exact"/>
        <w:rPr>
          <w:color w:val="000000"/>
        </w:rPr>
      </w:pPr>
      <w:bookmarkStart w:id="6" w:name="_Toc152045591"/>
      <w:bookmarkStart w:id="7" w:name="_Toc179632609"/>
      <w:bookmarkStart w:id="8" w:name="_Toc152042368"/>
      <w:bookmarkStart w:id="9" w:name="_Toc369951718"/>
      <w:bookmarkStart w:id="10" w:name="_Toc144974558"/>
      <w:bookmarkStart w:id="11" w:name="_Toc7104"/>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pPr>
        <w:pStyle w:val="44"/>
        <w:spacing w:line="380" w:lineRule="exact"/>
        <w:rPr>
          <w:color w:val="000000"/>
        </w:rPr>
      </w:pPr>
      <w:bookmarkStart w:id="12" w:name="_Toc179632610"/>
      <w:bookmarkStart w:id="13" w:name="_Toc152045592"/>
      <w:bookmarkStart w:id="14" w:name="_Toc369951719"/>
      <w:bookmarkStart w:id="15" w:name="_Toc152042369"/>
      <w:bookmarkStart w:id="16" w:name="_Toc10873"/>
      <w:bookmarkStart w:id="17" w:name="_Toc144974559"/>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spacing w:line="380" w:lineRule="exact"/>
        <w:ind w:firstLine="315" w:firstLineChars="150"/>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见评标办法</w:t>
      </w:r>
      <w:r>
        <w:rPr>
          <w:rFonts w:hint="eastAsia"/>
          <w:color w:val="000000"/>
          <w:lang w:eastAsia="zh-CN"/>
        </w:rPr>
        <w:t>表</w:t>
      </w:r>
      <w:r>
        <w:rPr>
          <w:rFonts w:hint="eastAsia"/>
          <w:color w:val="000000"/>
        </w:rPr>
        <w:t>。</w:t>
      </w: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根据交付使用期时间节点完成执行。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国家标准、《第20届中国-东盟博览会参展商手册》。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 xml:space="preserve">（1）技术标分值：40分 </w:t>
            </w:r>
          </w:p>
          <w:p>
            <w:pPr>
              <w:widowControl/>
              <w:jc w:val="left"/>
              <w:rPr>
                <w:rFonts w:ascii="宋体" w:hAnsi="宋体" w:cs="宋体"/>
                <w:b/>
                <w:color w:val="000000"/>
              </w:rPr>
            </w:pPr>
            <w:r>
              <w:rPr>
                <w:rFonts w:hint="eastAsia" w:ascii="宋体" w:hAnsi="宋体" w:eastAsia="宋体" w:cs="宋体"/>
                <w:color w:val="000000"/>
                <w:kern w:val="0"/>
                <w:szCs w:val="21"/>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（满分40分）</w:t>
            </w:r>
          </w:p>
        </w:tc>
        <w:tc>
          <w:tcPr>
            <w:tcW w:w="1444" w:type="dxa"/>
            <w:vAlign w:val="center"/>
          </w:tcPr>
          <w:p>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差(3.0分)：对项目认识不足，表述不清晰，措施不具体；施工段划分不合理。</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良(6.0分)：对项目总体有认识，措施一般但部分不具体：施工段划分较合理，符合规范要求。</w:t>
            </w:r>
          </w:p>
          <w:p>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2、项目设计（根据自贸开投集团十周年要素、各子公司形象设计）（满分10分）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w:t>
            </w:r>
            <w:r>
              <w:rPr>
                <w:rFonts w:hint="eastAsia" w:ascii="宋体" w:hAnsi="宋体" w:eastAsia="宋体" w:cs="宋体"/>
                <w:color w:val="auto"/>
                <w:szCs w:val="21"/>
                <w:lang w:val="en-US" w:eastAsia="zh-CN"/>
              </w:rPr>
              <w:t>设计划分不合理</w:t>
            </w:r>
            <w:r>
              <w:rPr>
                <w:rFonts w:hint="eastAsia" w:ascii="宋体" w:hAnsi="宋体" w:eastAsia="宋体" w:cs="宋体"/>
                <w:color w:val="auto"/>
                <w:szCs w:val="21"/>
              </w:rPr>
              <w:t>。</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w:t>
            </w:r>
            <w:r>
              <w:rPr>
                <w:rFonts w:hint="eastAsia" w:ascii="宋体" w:hAnsi="宋体" w:eastAsia="宋体" w:cs="宋体"/>
                <w:color w:val="auto"/>
                <w:szCs w:val="21"/>
                <w:lang w:val="en-US" w:eastAsia="zh-CN"/>
              </w:rPr>
              <w:t>项目有总体的认识，满足展位功能使用、品牌展示，符合规范要求</w:t>
            </w:r>
            <w:r>
              <w:rPr>
                <w:rFonts w:hint="eastAsia" w:ascii="宋体" w:hAnsi="宋体" w:eastAsia="宋体" w:cs="宋体"/>
                <w:color w:val="auto"/>
                <w:szCs w:val="21"/>
              </w:rPr>
              <w:t>。</w:t>
            </w:r>
          </w:p>
          <w:p>
            <w:pPr>
              <w:tabs>
                <w:tab w:val="left" w:pos="1080"/>
              </w:tabs>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优(10.0分)：对项目总体有深刻认识，</w:t>
            </w:r>
            <w:r>
              <w:rPr>
                <w:rFonts w:hint="eastAsia" w:ascii="宋体" w:hAnsi="宋体" w:eastAsia="宋体" w:cs="宋体"/>
                <w:color w:val="auto"/>
                <w:szCs w:val="21"/>
                <w:lang w:val="en-US" w:eastAsia="zh-CN"/>
              </w:rPr>
              <w:t>合理进行各子公司展位区域设计，满足采购人展位活动、吸引人流、品牌输出等需求</w:t>
            </w:r>
            <w:r>
              <w:rPr>
                <w:rFonts w:hint="eastAsia" w:ascii="宋体" w:hAnsi="宋体" w:eastAsia="宋体" w:cs="宋体"/>
                <w:color w:val="auto"/>
                <w:szCs w:val="21"/>
              </w:rPr>
              <w:t>，划分清晰、合理，符合规范要求。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、主要工程项目的施工方案、方法及技术措施（</w:t>
            </w:r>
            <w:r>
              <w:rPr>
                <w:rFonts w:hint="eastAsia" w:ascii="宋体" w:hAnsi="宋体" w:eastAsia="宋体" w:cs="宋体"/>
                <w:color w:val="auto"/>
                <w:szCs w:val="21"/>
                <w:lang w:val="en-US" w:eastAsia="zh-CN"/>
              </w:rPr>
              <w:t>满分</w:t>
            </w:r>
            <w:r>
              <w:rPr>
                <w:rFonts w:hint="eastAsia" w:ascii="宋体" w:hAnsi="宋体" w:eastAsia="宋体" w:cs="宋体"/>
                <w:color w:val="auto"/>
                <w:szCs w:val="21"/>
              </w:rPr>
              <w:t>10分）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差(3.0分)：对项目关键技术表述不清，对重点、难点建议一般，解决方案不可行。</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良(6.0分)：对项目关键技术、工艺有深入的表述，对重点、难点有合理的建议，解决方案经济、安全、基本可行。</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、施工进度计划和各阶段进度的保证措施及违约责任承诺（满分5分）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差(1.5分)：关键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不准确，计划编制不合理，关键节点的控制不可行，没有违约责任承诺。</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良(3.0分)：关键线路基本准确，计划编制基本合理，关键节点的控制措施基本可行，进度违约责任承诺具体。</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autoSpaceDE w:val="0"/>
              <w:autoSpaceDN w:val="0"/>
              <w:adjustRightInd w:val="0"/>
              <w:spacing w:line="280" w:lineRule="exact"/>
              <w:ind w:right="-20"/>
              <w:jc w:val="center"/>
              <w:rPr>
                <w:rFonts w:hint="eastAsia" w:ascii="宋体" w:hAnsi="宋体" w:eastAsia="宋体" w:cs="宋体"/>
                <w:color w:val="auto"/>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、质量保证措施（满分5分）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差(1.0分)：具体措施可行，满足招标文件的质量要求。</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良(3.0分)：针对项目实际提出先进、可行、具体的保证措施，满足招标文件的质量要求。</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2.2.2（1）</w:t>
            </w:r>
          </w:p>
        </w:tc>
        <w:tc>
          <w:tcPr>
            <w:tcW w:w="1209" w:type="dxa"/>
            <w:vAlign w:val="center"/>
          </w:tcPr>
          <w:p>
            <w:pPr>
              <w:tabs>
                <w:tab w:val="left" w:pos="1080"/>
              </w:tabs>
              <w:spacing w:line="320" w:lineRule="exact"/>
              <w:rPr>
                <w:rFonts w:hint="eastAsia" w:ascii="宋体" w:hAnsi="宋体" w:eastAsia="宋体" w:cs="宋体"/>
                <w:color w:val="000000"/>
                <w:szCs w:val="21"/>
              </w:rPr>
            </w:pPr>
            <w:r>
              <w:rPr>
                <w:rFonts w:hint="eastAsia" w:ascii="宋体" w:hAnsi="宋体" w:eastAsia="宋体" w:cs="宋体"/>
                <w:color w:val="000000"/>
                <w:szCs w:val="21"/>
              </w:rPr>
              <w:t>评标基准价计算方法</w:t>
            </w:r>
          </w:p>
        </w:tc>
        <w:tc>
          <w:tcPr>
            <w:tcW w:w="6147" w:type="dxa"/>
            <w:gridSpan w:val="2"/>
            <w:vAlign w:val="center"/>
          </w:tcPr>
          <w:p>
            <w:pPr>
              <w:tabs>
                <w:tab w:val="left" w:pos="1080"/>
              </w:tabs>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pPr>
              <w:tabs>
                <w:tab w:val="left" w:pos="1080"/>
              </w:tabs>
              <w:spacing w:line="320" w:lineRule="exact"/>
              <w:rPr>
                <w:rFonts w:hint="eastAsia" w:ascii="宋体" w:hAnsi="宋体" w:eastAsia="宋体" w:cs="宋体"/>
                <w:b/>
                <w:color w:val="auto"/>
                <w:szCs w:val="21"/>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p>
          <w:p>
            <w:pPr>
              <w:pStyle w:val="42"/>
              <w:rPr>
                <w:rFonts w:hint="eastAsia" w:ascii="宋体" w:hAnsi="宋体" w:eastAsia="宋体" w:cs="宋体"/>
                <w:color w:val="auto"/>
                <w:spacing w:val="89"/>
                <w:sz w:val="21"/>
              </w:rPr>
            </w:pPr>
            <w:r>
              <w:rPr>
                <w:rFonts w:hint="eastAsia" w:ascii="宋体" w:hAnsi="宋体" w:eastAsia="宋体" w:cs="宋体"/>
                <w:b/>
                <w:color w:val="auto"/>
                <w:kern w:val="2"/>
                <w:sz w:val="21"/>
                <w:szCs w:val="21"/>
                <w:lang w:val="en-US" w:eastAsia="zh-CN" w:bidi="ar-SA"/>
              </w:rPr>
              <w:t>2.计算所有满足本计算方法第1点规定的评标价的算术平均值作为评标基准价。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2.2.2（2）</w:t>
            </w:r>
          </w:p>
        </w:tc>
        <w:tc>
          <w:tcPr>
            <w:tcW w:w="1209" w:type="dxa"/>
            <w:vAlign w:val="top"/>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评标价的偏差率计算公式</w:t>
            </w:r>
          </w:p>
        </w:tc>
        <w:tc>
          <w:tcPr>
            <w:tcW w:w="6147" w:type="dxa"/>
            <w:gridSpan w:val="2"/>
            <w:vAlign w:val="center"/>
          </w:tcPr>
          <w:p>
            <w:pPr>
              <w:tabs>
                <w:tab w:val="left" w:pos="1080"/>
              </w:tabs>
              <w:spacing w:line="360" w:lineRule="exact"/>
              <w:rPr>
                <w:rFonts w:hint="eastAsia" w:ascii="宋体" w:hAnsi="宋体" w:eastAsia="宋体" w:cs="宋体"/>
                <w:b/>
                <w:color w:val="auto"/>
                <w:szCs w:val="21"/>
              </w:rPr>
            </w:pPr>
            <w:r>
              <w:rPr>
                <w:rFonts w:hint="eastAsia" w:ascii="宋体" w:hAnsi="宋体" w:eastAsia="宋体" w:cs="宋体"/>
                <w:sz w:val="21"/>
                <w:szCs w:val="21"/>
              </w:rPr>
              <w:t>报价得分=（评标基准价/某供应商报价）×价格权值×100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2.2.2（3）</w:t>
            </w:r>
          </w:p>
        </w:tc>
        <w:tc>
          <w:tcPr>
            <w:tcW w:w="1209" w:type="dxa"/>
            <w:vAlign w:val="center"/>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价格</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0分）</w:t>
            </w:r>
          </w:p>
          <w:p>
            <w:pPr>
              <w:tabs>
                <w:tab w:val="left" w:pos="1080"/>
              </w:tabs>
              <w:spacing w:line="360" w:lineRule="exact"/>
              <w:rPr>
                <w:rFonts w:hint="eastAsia" w:ascii="宋体" w:hAnsi="宋体" w:eastAsia="宋体" w:cs="宋体"/>
                <w:color w:val="000000"/>
                <w:szCs w:val="21"/>
              </w:rPr>
            </w:pPr>
          </w:p>
        </w:tc>
        <w:tc>
          <w:tcPr>
            <w:tcW w:w="6147" w:type="dxa"/>
            <w:gridSpan w:val="2"/>
            <w:vAlign w:val="center"/>
          </w:tcPr>
          <w:p>
            <w:pPr>
              <w:pStyle w:val="18"/>
              <w:ind w:firstLine="21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以评标基准价为最高分60分，采用内插法计算，竞标人最终报价每高于评标基准价1％的扣1分，每低于评标基准价1％的扣0.5分，计算出竞标人的投标报价得分。</w:t>
            </w:r>
          </w:p>
          <w:p>
            <w:pPr>
              <w:pStyle w:val="18"/>
              <w:ind w:firstLine="210"/>
              <w:rPr>
                <w:rFonts w:hint="eastAsia" w:ascii="宋体" w:hAnsi="宋体" w:eastAsia="宋体" w:cs="宋体"/>
                <w:color w:val="auto"/>
                <w:lang w:val="en-US" w:eastAsia="zh-CN"/>
              </w:rPr>
            </w:pPr>
            <w:r>
              <w:rPr>
                <w:rFonts w:hint="eastAsia" w:ascii="宋体" w:hAnsi="宋体" w:eastAsia="宋体" w:cs="宋体"/>
                <w:color w:val="auto"/>
                <w:sz w:val="21"/>
                <w:lang w:val="en-US" w:eastAsia="zh-CN"/>
              </w:rPr>
              <w:t>【备注：小数点后四舍五入保留两位小数】</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1723070"/>
      <w:bookmarkStart w:id="19" w:name="_Toc31728084"/>
      <w:bookmarkStart w:id="20" w:name="_Toc35611438"/>
      <w:bookmarkStart w:id="21" w:name="_Toc35611516"/>
      <w:bookmarkStart w:id="22" w:name="_Toc30694"/>
      <w:bookmarkStart w:id="23" w:name="_Toc44229899"/>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蚂蚁洋货2023年东盟博览会展位设计及搭建工程</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（报价内容）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bCs w:val="0"/>
                <w:color w:val="auto"/>
                <w:kern w:val="0"/>
                <w:sz w:val="21"/>
                <w:szCs w:val="21"/>
                <w:highlight w:val="none"/>
                <w:u w:val="none"/>
                <w:lang w:val="en-US" w:eastAsia="zh-CN" w:bidi="ar"/>
              </w:rPr>
              <w:t>本</w:t>
            </w:r>
            <w:r>
              <w:rPr>
                <w:rFonts w:hint="eastAsia" w:ascii="宋体" w:hAnsi="宋体" w:eastAsia="宋体" w:cs="宋体"/>
                <w:bCs w:val="0"/>
                <w:color w:val="auto"/>
                <w:kern w:val="0"/>
                <w:sz w:val="21"/>
                <w:szCs w:val="21"/>
                <w:highlight w:val="none"/>
                <w:u w:val="none"/>
                <w:lang w:bidi="ar"/>
              </w:rPr>
              <w:t>报价</w:t>
            </w:r>
            <w:r>
              <w:rPr>
                <w:rFonts w:hint="eastAsia" w:ascii="宋体" w:hAnsi="宋体" w:eastAsia="宋体" w:cs="宋体"/>
                <w:bCs w:val="0"/>
                <w:color w:val="auto"/>
                <w:kern w:val="0"/>
                <w:sz w:val="21"/>
                <w:szCs w:val="21"/>
                <w:highlight w:val="none"/>
                <w:u w:val="none"/>
                <w:lang w:val="en-US" w:eastAsia="zh-CN" w:bidi="ar"/>
              </w:rPr>
              <w:t>包</w:t>
            </w:r>
            <w:r>
              <w:rPr>
                <w:rFonts w:hint="eastAsia" w:ascii="宋体" w:hAnsi="宋体" w:eastAsia="宋体" w:cs="宋体"/>
                <w:bCs w:val="0"/>
                <w:color w:val="auto"/>
                <w:kern w:val="0"/>
                <w:sz w:val="21"/>
                <w:szCs w:val="21"/>
                <w:highlight w:val="none"/>
                <w:u w:val="none"/>
                <w:lang w:bidi="ar"/>
              </w:rPr>
              <w:t>含以下部分：</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1.本次提供的报价需涵盖展位设计、搭建及用料、撤展等各项费用；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val="en-US" w:eastAsia="zh-CN"/>
              </w:rPr>
              <w:t>2.需为含税报价，提供合规等额增值税专用发票。</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蚂蚁洋货2023年东盟博览会展位设计及搭建工程</w:t>
      </w:r>
      <w:r>
        <w:rPr>
          <w:rFonts w:hint="eastAsia" w:ascii="宋体" w:hAnsi="宋体" w:eastAsia="宋体" w:cs="宋体"/>
          <w:b w:val="0"/>
          <w:bCs w:val="0"/>
          <w:sz w:val="28"/>
          <w:szCs w:val="28"/>
          <w:lang w:val="en-US" w:eastAsia="zh-CN"/>
        </w:rPr>
        <w:t xml:space="preserve"> </w:t>
      </w:r>
    </w:p>
    <w:tbl>
      <w:tblPr>
        <w:tblStyle w:val="19"/>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2"/>
        <w:gridCol w:w="2820"/>
        <w:gridCol w:w="263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12"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20"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39"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191"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16"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交付及撤展期</w:t>
            </w:r>
          </w:p>
        </w:tc>
        <w:tc>
          <w:tcPr>
            <w:tcW w:w="2820" w:type="dxa"/>
            <w:vAlign w:val="center"/>
          </w:tcPr>
          <w:p>
            <w:pPr>
              <w:numPr>
                <w:ilvl w:val="0"/>
                <w:numId w:val="0"/>
              </w:numPr>
              <w:spacing w:line="360" w:lineRule="auto"/>
              <w:jc w:val="left"/>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w:t>
            </w:r>
            <w:r>
              <w:rPr>
                <w:rFonts w:hint="eastAsia" w:ascii="宋体" w:hAnsi="宋体" w:eastAsia="宋体" w:cs="宋体"/>
                <w:bCs/>
                <w:color w:val="auto"/>
                <w:sz w:val="18"/>
                <w:szCs w:val="18"/>
                <w:highlight w:val="none"/>
              </w:rPr>
              <w:t>交付使用期：</w:t>
            </w:r>
            <w:r>
              <w:rPr>
                <w:rFonts w:hint="eastAsia" w:ascii="宋体" w:hAnsi="宋体" w:eastAsia="宋体" w:cs="宋体"/>
                <w:bCs/>
                <w:color w:val="auto"/>
                <w:sz w:val="18"/>
                <w:szCs w:val="18"/>
                <w:highlight w:val="none"/>
                <w:lang w:val="en-US" w:eastAsia="zh-CN"/>
              </w:rPr>
              <w:t>2023年9月14日前完成展位设计、布展及交付工作；2.撤展期：2023年9月20日18：00前完成撤展</w:t>
            </w:r>
            <w:r>
              <w:rPr>
                <w:rFonts w:hint="eastAsia" w:ascii="宋体" w:hAnsi="宋体"/>
                <w:sz w:val="18"/>
                <w:szCs w:val="18"/>
              </w:rPr>
              <w:t>。</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16"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12" w:type="dxa"/>
            <w:vAlign w:val="center"/>
          </w:tcPr>
          <w:p>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20"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1.本次提供的报价需涵盖展位设计、搭建及用料、撤展等各项费用；2.需为含税报价，提供合规等额增值税专用发票。</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16"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20"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根据采购人需求、结合《第20届中国-东盟博览会参展商手册》完成本次展位设计、搭建布展、撤展工作；</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6"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20" w:type="dxa"/>
            <w:vAlign w:val="center"/>
          </w:tcPr>
          <w:p>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16"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20"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认真贯彻执行参展手册内各项要求和规定，做到文明施工、安全、保质保量如期完成施工任务。</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16"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20"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16" w:type="dxa"/>
            <w:vAlign w:val="center"/>
          </w:tcPr>
          <w:p>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20"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39" w:type="dxa"/>
            <w:vAlign w:val="center"/>
          </w:tcPr>
          <w:p>
            <w:pPr>
              <w:snapToGrid w:val="0"/>
              <w:spacing w:before="120" w:beforeLines="50" w:line="360" w:lineRule="auto"/>
              <w:jc w:val="center"/>
              <w:rPr>
                <w:rFonts w:hint="eastAsia" w:ascii="宋体" w:hAnsi="宋体" w:eastAsia="宋体" w:cs="宋体"/>
                <w:sz w:val="18"/>
                <w:szCs w:val="18"/>
              </w:rPr>
            </w:pPr>
          </w:p>
        </w:tc>
        <w:tc>
          <w:tcPr>
            <w:tcW w:w="1191" w:type="dxa"/>
            <w:vAlign w:val="center"/>
          </w:tcPr>
          <w:p>
            <w:pPr>
              <w:snapToGrid w:val="0"/>
              <w:spacing w:before="120" w:beforeLines="50" w:line="360" w:lineRule="auto"/>
              <w:jc w:val="center"/>
              <w:rPr>
                <w:rFonts w:hint="eastAsia" w:ascii="宋体" w:hAnsi="宋体" w:eastAsia="宋体" w:cs="宋体"/>
                <w:sz w:val="18"/>
                <w:szCs w:val="18"/>
              </w:rPr>
            </w:pPr>
          </w:p>
        </w:tc>
      </w:tr>
    </w:tbl>
    <w:p>
      <w:pPr>
        <w:pStyle w:val="15"/>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OTdlN2YyZGYzZWFjN2JkZjBiNjE0ODMxZjMyNz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BD483D"/>
    <w:rsid w:val="06C242C5"/>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73148F"/>
    <w:rsid w:val="1EF652E1"/>
    <w:rsid w:val="1F2B0E21"/>
    <w:rsid w:val="1F793F7F"/>
    <w:rsid w:val="1F836367"/>
    <w:rsid w:val="1F861028"/>
    <w:rsid w:val="1FA2571F"/>
    <w:rsid w:val="20096994"/>
    <w:rsid w:val="205A54F3"/>
    <w:rsid w:val="20B31DCB"/>
    <w:rsid w:val="20E716DD"/>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3306A"/>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1C0BC5"/>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070097"/>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9D2B4A"/>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E9E4186"/>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3FFD671"/>
    <w:rsid w:val="74045844"/>
    <w:rsid w:val="742749F8"/>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BB3930"/>
    <w:rsid w:val="7EE94CBB"/>
    <w:rsid w:val="7F37016E"/>
    <w:rsid w:val="7F686EE0"/>
    <w:rsid w:val="7F7D13C9"/>
    <w:rsid w:val="7FAD7090"/>
    <w:rsid w:val="954F8667"/>
    <w:rsid w:val="BCFD8597"/>
    <w:rsid w:val="DFBFF38C"/>
    <w:rsid w:val="EDBD9E94"/>
    <w:rsid w:val="EFBFC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10227</Words>
  <Characters>10912</Characters>
  <Lines>54</Lines>
  <Paragraphs>15</Paragraphs>
  <TotalTime>40</TotalTime>
  <ScaleCrop>false</ScaleCrop>
  <LinksUpToDate>false</LinksUpToDate>
  <CharactersWithSpaces>11891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富婆们的WPS</cp:lastModifiedBy>
  <dcterms:modified xsi:type="dcterms:W3CDTF">2023-09-01T06:50:45Z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99C4894746EA4B269E4D49938D07BA78_13</vt:lpwstr>
  </property>
</Properties>
</file>