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pPr>
        <w:pStyle w:val="8"/>
        <w:rPr>
          <w:rFonts w:hint="eastAsia"/>
          <w:color w:val="auto"/>
          <w:highlight w:val="none"/>
          <w:lang w:val="en-US" w:eastAsia="zh-CN"/>
        </w:rPr>
      </w:pPr>
    </w:p>
    <w:p>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竞争性磋商文件</w:t>
      </w:r>
    </w:p>
    <w:p>
      <w:pPr>
        <w:rPr>
          <w:rFonts w:hint="eastAsia" w:ascii="宋体" w:hAnsi="宋体" w:eastAsia="宋体" w:cs="宋体"/>
          <w:b/>
          <w:bCs/>
          <w:color w:val="auto"/>
          <w:sz w:val="36"/>
          <w:szCs w:val="36"/>
          <w:highlight w:val="none"/>
          <w:lang w:val="en-US" w:eastAsia="zh-CN"/>
        </w:rPr>
      </w:pPr>
    </w:p>
    <w:p>
      <w:pPr>
        <w:pStyle w:val="8"/>
        <w:rPr>
          <w:rFonts w:hint="eastAsia" w:ascii="宋体" w:hAnsi="宋体" w:eastAsia="宋体" w:cs="宋体"/>
          <w:b/>
          <w:bCs/>
          <w:color w:val="auto"/>
          <w:sz w:val="36"/>
          <w:szCs w:val="36"/>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sz w:val="36"/>
          <w:szCs w:val="36"/>
          <w:highlight w:val="none"/>
          <w:lang w:val="en-US" w:eastAsia="zh-CN"/>
        </w:rPr>
      </w:pPr>
    </w:p>
    <w:p>
      <w:pPr>
        <w:rPr>
          <w:rFonts w:hint="eastAsia" w:ascii="宋体" w:hAnsi="宋体" w:eastAsia="宋体" w:cs="宋体"/>
          <w:b/>
          <w:bCs/>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项目名称：</w:t>
      </w:r>
      <w:r>
        <w:rPr>
          <w:rFonts w:hint="eastAsia" w:ascii="宋体" w:hAnsi="宋体" w:eastAsia="宋体" w:cs="宋体"/>
          <w:b/>
          <w:color w:val="auto"/>
          <w:sz w:val="36"/>
          <w:szCs w:val="36"/>
          <w:highlight w:val="none"/>
          <w:u w:val="single"/>
          <w:lang w:val="en-US" w:eastAsia="zh-CN"/>
        </w:rPr>
        <w:t>北部湾(钦州)国际粮食加工产业园项目大门施工工程</w:t>
      </w:r>
    </w:p>
    <w:p>
      <w:pPr>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采 购 人：</w:t>
      </w:r>
      <w:r>
        <w:rPr>
          <w:rFonts w:hint="eastAsia" w:ascii="宋体" w:hAnsi="宋体" w:eastAsia="宋体" w:cs="宋体"/>
          <w:b/>
          <w:bCs/>
          <w:color w:val="auto"/>
          <w:sz w:val="36"/>
          <w:szCs w:val="36"/>
          <w:highlight w:val="none"/>
          <w:u w:val="single"/>
          <w:lang w:val="en-US" w:eastAsia="zh-CN"/>
        </w:rPr>
        <w:t>广西钦保国际贸易有限公司</w:t>
      </w:r>
    </w:p>
    <w:p>
      <w:pPr>
        <w:rPr>
          <w:rFonts w:hint="eastAsia" w:ascii="宋体" w:hAnsi="宋体" w:eastAsia="宋体" w:cs="宋体"/>
          <w:b/>
          <w:bCs/>
          <w:color w:val="auto"/>
          <w:sz w:val="36"/>
          <w:szCs w:val="36"/>
          <w:highlight w:val="none"/>
          <w:lang w:val="en-US" w:eastAsia="zh-CN"/>
        </w:rPr>
      </w:pPr>
    </w:p>
    <w:p>
      <w:pPr>
        <w:rPr>
          <w:rFonts w:hint="eastAsia" w:ascii="宋体" w:hAnsi="宋体" w:eastAsia="宋体" w:cs="宋体"/>
          <w:b/>
          <w:bCs/>
          <w:color w:val="auto"/>
          <w:sz w:val="36"/>
          <w:szCs w:val="36"/>
          <w:highlight w:val="none"/>
          <w:lang w:val="en-US" w:eastAsia="zh-CN"/>
        </w:rPr>
      </w:pPr>
    </w:p>
    <w:p>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2023年8月</w:t>
      </w:r>
    </w:p>
    <w:p>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w:t>
      </w:r>
      <w:r>
        <w:rPr>
          <w:rFonts w:hint="eastAsia" w:ascii="宋体" w:hAnsi="宋体" w:eastAsia="宋体" w:cs="宋体"/>
          <w:b/>
          <w:bCs w:val="0"/>
          <w:color w:val="auto"/>
          <w:kern w:val="2"/>
          <w:sz w:val="32"/>
          <w:szCs w:val="32"/>
          <w:highlight w:val="none"/>
          <w:u w:val="none"/>
          <w:lang w:val="en-US" w:eastAsia="zh-CN" w:bidi="ar-SA"/>
        </w:rPr>
        <w:t>竞争性磋商</w:t>
      </w:r>
      <w:r>
        <w:rPr>
          <w:rFonts w:hint="eastAsia" w:ascii="宋体" w:hAnsi="宋体" w:eastAsia="宋体" w:cs="宋体"/>
          <w:color w:val="auto"/>
          <w:sz w:val="32"/>
          <w:szCs w:val="32"/>
          <w:highlight w:val="none"/>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北部湾(钦州)国际粮食加工产业园项目大门施工工程</w:t>
      </w:r>
      <w:r>
        <w:rPr>
          <w:rFonts w:hint="eastAsia" w:ascii="宋体" w:hAnsi="宋体" w:eastAsia="宋体" w:cs="宋体"/>
          <w:b w:val="0"/>
          <w:bCs/>
          <w:color w:val="auto"/>
          <w:sz w:val="24"/>
          <w:szCs w:val="24"/>
          <w:highlight w:val="none"/>
          <w:u w:val="single"/>
          <w:lang w:val="en-US" w:eastAsia="zh-CN"/>
        </w:rPr>
        <w:t>潜在供应商应在广西自贸区钦州港片区开发投资集团有限责任公司网站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HYPERLINK "http://www.qbtzjt.com" </w:instrText>
      </w:r>
      <w:r>
        <w:rPr>
          <w:rFonts w:hint="eastAsia" w:ascii="宋体" w:hAnsi="宋体" w:eastAsia="宋体" w:cs="宋体"/>
          <w:b w:val="0"/>
          <w:bCs/>
          <w:color w:val="auto"/>
          <w:sz w:val="24"/>
          <w:szCs w:val="24"/>
          <w:highlight w:val="none"/>
          <w:u w:val="single"/>
          <w:lang w:val="en-US" w:eastAsia="zh-CN"/>
        </w:rPr>
        <w:fldChar w:fldCharType="separate"/>
      </w:r>
      <w:r>
        <w:rPr>
          <w:rStyle w:val="24"/>
          <w:rFonts w:hint="eastAsia" w:ascii="宋体" w:hAnsi="宋体" w:eastAsia="宋体" w:cs="宋体"/>
          <w:b w:val="0"/>
          <w:bCs/>
          <w:color w:val="auto"/>
          <w:sz w:val="24"/>
          <w:szCs w:val="24"/>
          <w:highlight w:val="none"/>
          <w:lang w:val="en-US" w:eastAsia="zh-CN"/>
        </w:rPr>
        <w:t>http://www.qbtzjt.com</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获取（下载）</w:t>
      </w:r>
      <w:r>
        <w:rPr>
          <w:rFonts w:hint="eastAsia" w:ascii="宋体" w:hAnsi="宋体" w:eastAsia="宋体" w:cs="宋体"/>
          <w:b w:val="0"/>
          <w:bCs/>
          <w:color w:val="auto"/>
          <w:sz w:val="24"/>
          <w:szCs w:val="24"/>
          <w:highlight w:val="none"/>
          <w:lang w:val="en-US" w:eastAsia="zh-CN"/>
        </w:rPr>
        <w:t>招标文件，并于截止日期</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月8日9时30分（北京时间）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项目名称：北部湾(钦州)国际粮食加工产业园项目大门施工工程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预算金额：人民币肆拾伍万贰仟叁佰贰拾肆元叁角叁分（￥：</w:t>
      </w:r>
      <w:r>
        <w:rPr>
          <w:rFonts w:hint="eastAsia" w:ascii="Tahoma" w:hAnsi="Tahoma" w:eastAsia="宋体" w:cs="Tahoma"/>
          <w:i w:val="0"/>
          <w:iCs w:val="0"/>
          <w:caps w:val="0"/>
          <w:color w:val="auto"/>
          <w:spacing w:val="0"/>
          <w:sz w:val="22"/>
          <w:szCs w:val="22"/>
          <w:highlight w:val="none"/>
          <w:shd w:val="clear" w:fill="F2F2F7"/>
          <w:lang w:val="en-US" w:eastAsia="zh-CN"/>
        </w:rPr>
        <w:t>452324.33</w:t>
      </w:r>
      <w:r>
        <w:rPr>
          <w:rFonts w:hint="eastAsia" w:ascii="宋体" w:hAnsi="宋体" w:eastAsia="宋体" w:cs="宋体"/>
          <w:b w:val="0"/>
          <w:bCs/>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最高限价：人民币肆拾伍万贰仟叁佰贰拾肆元叁角叁分（￥：</w:t>
      </w:r>
      <w:r>
        <w:rPr>
          <w:rFonts w:hint="eastAsia" w:ascii="Tahoma" w:hAnsi="Tahoma" w:eastAsia="宋体" w:cs="Tahoma"/>
          <w:i w:val="0"/>
          <w:iCs w:val="0"/>
          <w:caps w:val="0"/>
          <w:color w:val="auto"/>
          <w:spacing w:val="0"/>
          <w:sz w:val="22"/>
          <w:szCs w:val="22"/>
          <w:highlight w:val="none"/>
          <w:shd w:val="clear" w:fill="F2F2F7"/>
          <w:lang w:val="en-US" w:eastAsia="zh-CN"/>
        </w:rPr>
        <w:t>452324.33</w:t>
      </w:r>
      <w:r>
        <w:rPr>
          <w:rFonts w:hint="eastAsia" w:ascii="宋体" w:hAnsi="宋体" w:eastAsia="宋体" w:cs="宋体"/>
          <w:b w:val="0"/>
          <w:bCs/>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采购需求：粮食加工产业园1号门施工8米形象墙，474㎡混凝土路面，安装2套重型智能道闸，2、3号门安装6套智能道闸，如需进一步了解详细内容，详见招标文件“第二章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 w:val="0"/>
          <w:bCs/>
          <w:color w:val="auto"/>
          <w:sz w:val="24"/>
          <w:szCs w:val="24"/>
          <w:highlight w:val="none"/>
          <w:u w:val="single"/>
          <w:lang w:val="en-US" w:eastAsia="zh-CN"/>
        </w:rPr>
        <w:t xml:space="preserve"> 25天 </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color w:val="auto"/>
          <w:sz w:val="24"/>
          <w:szCs w:val="24"/>
          <w:highlight w:val="none"/>
        </w:rPr>
        <w:t>具备市政公用工程施工总承包叁级及以上级资质（含叁级），并在人员、设备、资金等方面具备相应的施工能力</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8</w:t>
      </w:r>
      <w:r>
        <w:rPr>
          <w:rFonts w:hint="eastAsia" w:ascii="宋体" w:hAnsi="宋体" w:eastAsia="宋体" w:cs="宋体"/>
          <w:b w:val="0"/>
          <w:bCs/>
          <w:color w:val="auto"/>
          <w:sz w:val="24"/>
          <w:szCs w:val="24"/>
          <w:highlight w:val="none"/>
          <w:u w:val="single"/>
          <w:lang w:val="en-US" w:eastAsia="zh-CN"/>
        </w:rPr>
        <w:t>月29日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月4日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HYPERLINK "http://www.qbtzjt.com" </w:instrText>
      </w:r>
      <w:r>
        <w:rPr>
          <w:rFonts w:hint="eastAsia" w:ascii="宋体" w:hAnsi="宋体" w:eastAsia="宋体" w:cs="宋体"/>
          <w:b w:val="0"/>
          <w:bCs/>
          <w:color w:val="auto"/>
          <w:sz w:val="24"/>
          <w:szCs w:val="24"/>
          <w:highlight w:val="none"/>
          <w:u w:val="single"/>
          <w:lang w:val="en-US" w:eastAsia="zh-CN"/>
        </w:rPr>
        <w:fldChar w:fldCharType="separate"/>
      </w:r>
      <w:r>
        <w:rPr>
          <w:rStyle w:val="24"/>
          <w:rFonts w:hint="eastAsia" w:ascii="宋体" w:hAnsi="宋体" w:eastAsia="宋体" w:cs="宋体"/>
          <w:b w:val="0"/>
          <w:bCs/>
          <w:color w:val="auto"/>
          <w:sz w:val="24"/>
          <w:szCs w:val="24"/>
          <w:highlight w:val="none"/>
          <w:lang w:val="en-US" w:eastAsia="zh-CN"/>
        </w:rPr>
        <w:t>http：//www.qbtzjt.com</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月4日17时30分</w:t>
      </w:r>
      <w:r>
        <w:rPr>
          <w:rFonts w:hint="eastAsia" w:ascii="宋体" w:hAnsi="宋体" w:eastAsia="宋体" w:cs="宋体"/>
          <w:b w:val="0"/>
          <w:bCs/>
          <w:color w:val="auto"/>
          <w:sz w:val="24"/>
          <w:szCs w:val="24"/>
          <w:highlight w:val="none"/>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月8日</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highlight w:val="none"/>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逾期送达的或者未送达指定地点的，采购人不予受理。</w:t>
      </w:r>
    </w:p>
    <w:p>
      <w:pPr>
        <w:keepNext w:val="0"/>
        <w:keepLines w:val="0"/>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注：以邮寄方式提交的</w:t>
      </w:r>
      <w:r>
        <w:rPr>
          <w:rFonts w:hint="default" w:ascii="宋体" w:hAnsi="宋体" w:eastAsia="宋体" w:cs="宋体"/>
          <w:b w:val="0"/>
          <w:bCs/>
          <w:color w:val="auto"/>
          <w:sz w:val="24"/>
          <w:szCs w:val="24"/>
          <w:highlight w:val="none"/>
          <w:lang w:eastAsia="zh-CN"/>
        </w:rPr>
        <w:t>（建议寄顺丰）</w:t>
      </w:r>
      <w:r>
        <w:rPr>
          <w:rFonts w:hint="default" w:ascii="宋体" w:hAnsi="宋体" w:eastAsia="宋体" w:cs="宋体"/>
          <w:b w:val="0"/>
          <w:bCs/>
          <w:color w:val="auto"/>
          <w:sz w:val="24"/>
          <w:szCs w:val="24"/>
          <w:highlight w:val="none"/>
          <w:lang w:val="en-US" w:eastAsia="zh-CN"/>
        </w:rPr>
        <w:t>，应在截止时间前送达指定地点并经签收，不按规定密封、逾期送达的按无效竞标处理。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2023年</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月8日</w:t>
      </w:r>
      <w:r>
        <w:rPr>
          <w:rFonts w:hint="default" w:ascii="宋体" w:hAnsi="宋体" w:eastAsia="宋体" w:cs="宋体"/>
          <w:b w:val="0"/>
          <w:bCs/>
          <w:color w:val="auto"/>
          <w:sz w:val="24"/>
          <w:szCs w:val="24"/>
          <w:highlight w:val="none"/>
          <w:u w:val="single"/>
          <w:lang w:eastAsia="zh-CN"/>
        </w:rPr>
        <w:t>9</w:t>
      </w:r>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广西钦保国际贸易有限公司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w:t>
      </w:r>
    </w:p>
    <w:p>
      <w:pPr>
        <w:jc w:val="left"/>
        <w:rPr>
          <w:rFonts w:hint="eastAsia" w:ascii="宋体" w:hAnsi="宋体" w:eastAsia="宋体" w:cs="宋体"/>
          <w:b/>
          <w:bCs/>
          <w:color w:val="auto"/>
          <w:sz w:val="36"/>
          <w:szCs w:val="36"/>
          <w:highlight w:val="none"/>
          <w:lang w:val="en-US" w:eastAsia="zh-CN"/>
        </w:rPr>
      </w:pPr>
    </w:p>
    <w:p>
      <w:pPr>
        <w:pStyle w:val="3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第二章</w:t>
      </w:r>
      <w:r>
        <w:rPr>
          <w:rFonts w:hint="eastAsia" w:cs="宋体"/>
          <w:color w:val="auto"/>
          <w:highlight w:val="none"/>
          <w:lang w:val="en-US" w:eastAsia="zh-CN"/>
        </w:rPr>
        <w:t xml:space="preserve">  </w:t>
      </w:r>
      <w:r>
        <w:rPr>
          <w:rFonts w:hint="eastAsia" w:ascii="宋体" w:hAnsi="宋体" w:eastAsia="宋体" w:cs="宋体"/>
          <w:color w:val="auto"/>
          <w:highlight w:val="none"/>
          <w:lang w:val="en-US"/>
        </w:rPr>
        <w:t>采购</w:t>
      </w:r>
      <w:r>
        <w:rPr>
          <w:rFonts w:hint="eastAsia" w:ascii="宋体" w:hAnsi="宋体" w:eastAsia="宋体" w:cs="宋体"/>
          <w:color w:val="auto"/>
          <w:highlight w:val="none"/>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1、本</w:t>
      </w:r>
      <w:r>
        <w:rPr>
          <w:rFonts w:hint="eastAsia" w:ascii="宋体" w:hAnsi="宋体" w:eastAsia="宋体" w:cs="宋体"/>
          <w:color w:val="auto"/>
          <w:sz w:val="24"/>
          <w:szCs w:val="24"/>
          <w:highlight w:val="none"/>
          <w:lang w:val="en-US" w:bidi="zh-CN"/>
        </w:rPr>
        <w:t>项目采购需求</w:t>
      </w:r>
      <w:r>
        <w:rPr>
          <w:rFonts w:hint="eastAsia" w:ascii="宋体" w:hAnsi="宋体" w:eastAsia="宋体" w:cs="宋体"/>
          <w:color w:val="auto"/>
          <w:sz w:val="24"/>
          <w:szCs w:val="24"/>
          <w:highlight w:val="none"/>
          <w:lang w:bidi="zh-CN"/>
        </w:rPr>
        <w:t>表中所列的品牌、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型号仅起</w:t>
      </w:r>
      <w:r>
        <w:rPr>
          <w:rFonts w:hint="eastAsia" w:ascii="宋体" w:hAnsi="宋体" w:eastAsia="宋体" w:cs="宋体"/>
          <w:b/>
          <w:bCs/>
          <w:color w:val="auto"/>
          <w:sz w:val="24"/>
          <w:szCs w:val="24"/>
          <w:highlight w:val="none"/>
          <w:lang w:bidi="zh-CN"/>
        </w:rPr>
        <w:t>参考作用</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供应商</w:t>
      </w:r>
      <w:r>
        <w:rPr>
          <w:rFonts w:hint="eastAsia" w:ascii="宋体" w:hAnsi="宋体" w:eastAsia="宋体" w:cs="宋体"/>
          <w:color w:val="auto"/>
          <w:sz w:val="24"/>
          <w:szCs w:val="24"/>
          <w:highlight w:val="none"/>
          <w:lang w:bidi="zh-CN"/>
        </w:rPr>
        <w:t>可选用其他品牌、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型号替代，但替代的品牌、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型号在实质性要求和条件上要</w:t>
      </w:r>
      <w:r>
        <w:rPr>
          <w:rFonts w:hint="eastAsia" w:ascii="宋体" w:hAnsi="宋体" w:eastAsia="宋体" w:cs="宋体"/>
          <w:b/>
          <w:bCs/>
          <w:color w:val="auto"/>
          <w:sz w:val="24"/>
          <w:szCs w:val="24"/>
          <w:highlight w:val="none"/>
          <w:lang w:bidi="zh-CN"/>
        </w:rPr>
        <w:t>相当于或优于</w:t>
      </w:r>
      <w:r>
        <w:rPr>
          <w:rFonts w:hint="eastAsia" w:ascii="宋体" w:hAnsi="宋体" w:eastAsia="宋体" w:cs="宋体"/>
          <w:color w:val="auto"/>
          <w:sz w:val="24"/>
          <w:szCs w:val="24"/>
          <w:highlight w:val="none"/>
          <w:lang w:bidi="zh-CN"/>
        </w:rPr>
        <w:t>参考品牌、</w:t>
      </w:r>
      <w:r>
        <w:rPr>
          <w:rFonts w:hint="eastAsia" w:ascii="宋体" w:hAnsi="宋体" w:eastAsia="宋体" w:cs="宋体"/>
          <w:color w:val="auto"/>
          <w:sz w:val="24"/>
          <w:szCs w:val="24"/>
          <w:highlight w:val="none"/>
          <w:lang w:val="en-US" w:bidi="zh-CN"/>
        </w:rPr>
        <w:t>规格</w:t>
      </w:r>
      <w:r>
        <w:rPr>
          <w:rFonts w:hint="eastAsia" w:ascii="宋体" w:hAnsi="宋体" w:eastAsia="宋体" w:cs="宋体"/>
          <w:color w:val="auto"/>
          <w:sz w:val="24"/>
          <w:szCs w:val="24"/>
          <w:highlight w:val="none"/>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详见图纸、工程量清单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firstLineChars="200"/>
              <w:rPr>
                <w:rFonts w:hint="eastAsia" w:ascii="宋体" w:hAnsi="宋体"/>
                <w:color w:val="auto"/>
                <w:sz w:val="24"/>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25天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p>
            <w:pPr>
              <w:keepNext w:val="0"/>
              <w:keepLines w:val="0"/>
              <w:widowControl/>
              <w:suppressLineNumbers w:val="0"/>
              <w:adjustRightInd w:val="0"/>
              <w:snapToGrid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kern w:val="0"/>
                <w:sz w:val="22"/>
                <w:highlight w:val="none"/>
                <w:u w:val="none"/>
                <w:lang w:val="en-US" w:eastAsia="zh-CN" w:bidi="ar"/>
              </w:rPr>
              <w:t>签订合同且</w:t>
            </w:r>
            <w:r>
              <w:rPr>
                <w:rFonts w:hint="eastAsia" w:ascii="宋体" w:hAnsi="宋体" w:eastAsia="宋体" w:cs="宋体"/>
                <w:color w:val="auto"/>
                <w:sz w:val="24"/>
                <w:szCs w:val="22"/>
                <w:highlight w:val="none"/>
                <w:lang w:val="en-US" w:eastAsia="zh-CN" w:bidi="ar"/>
              </w:rPr>
              <w:t>甲方收到发票后3日内支付合同总价30%的预付款，工程竣工验收</w:t>
            </w:r>
            <w:r>
              <w:rPr>
                <w:rFonts w:hint="default" w:ascii="宋体" w:hAnsi="宋体" w:eastAsia="宋体" w:cs="宋体"/>
                <w:color w:val="auto"/>
                <w:sz w:val="24"/>
                <w:szCs w:val="22"/>
                <w:highlight w:val="none"/>
                <w:lang w:eastAsia="zh-CN" w:bidi="ar"/>
              </w:rPr>
              <w:t>合格</w:t>
            </w:r>
            <w:r>
              <w:rPr>
                <w:rFonts w:hint="eastAsia" w:ascii="宋体" w:hAnsi="宋体" w:eastAsia="宋体" w:cs="宋体"/>
                <w:color w:val="auto"/>
                <w:sz w:val="24"/>
                <w:szCs w:val="22"/>
                <w:highlight w:val="none"/>
                <w:lang w:val="en-US" w:eastAsia="zh-CN" w:bidi="ar"/>
              </w:rPr>
              <w:t>且甲方收到发票后7个工作日内支付</w:t>
            </w:r>
            <w:r>
              <w:rPr>
                <w:rFonts w:hint="default" w:ascii="宋体" w:hAnsi="宋体" w:eastAsia="宋体" w:cs="宋体"/>
                <w:color w:val="auto"/>
                <w:sz w:val="24"/>
                <w:szCs w:val="22"/>
                <w:highlight w:val="none"/>
                <w:lang w:eastAsia="zh-CN" w:bidi="ar"/>
              </w:rPr>
              <w:t>至</w:t>
            </w:r>
            <w:r>
              <w:rPr>
                <w:rFonts w:hint="eastAsia" w:ascii="宋体" w:hAnsi="宋体" w:eastAsia="宋体" w:cs="宋体"/>
                <w:color w:val="auto"/>
                <w:sz w:val="24"/>
                <w:szCs w:val="22"/>
                <w:highlight w:val="none"/>
                <w:lang w:val="en-US" w:eastAsia="zh-CN" w:bidi="ar"/>
              </w:rPr>
              <w:t>合同总价的97%。</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4"/>
                <w:szCs w:val="22"/>
                <w:highlight w:val="none"/>
                <w:lang w:val="en-US" w:eastAsia="zh-CN" w:bidi="ar"/>
              </w:rPr>
              <w:t>2、剩余工程款3%作为质保金，质保期为1年以竣工验收合格日期开始计算质保期。质保期届满且乙方无合同约定扣除保证金情况下，甲方应7个工作日内将无息支付给乙方。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zh-CN"/>
        </w:rPr>
      </w:pPr>
    </w:p>
    <w:p>
      <w:pPr>
        <w:rPr>
          <w:rFonts w:hint="eastAsia"/>
          <w:color w:val="auto"/>
          <w:highlight w:val="none"/>
          <w:lang w:val="en-US" w:eastAsia="zh-CN"/>
        </w:rPr>
      </w:pPr>
      <w:r>
        <w:rPr>
          <w:rFonts w:hint="eastAsia"/>
          <w:color w:val="auto"/>
          <w:highlight w:val="none"/>
          <w:lang w:val="en-US" w:eastAsia="zh-CN"/>
        </w:rPr>
        <w:br w:type="page"/>
      </w:r>
    </w:p>
    <w:p>
      <w:pPr>
        <w:pStyle w:val="39"/>
        <w:rPr>
          <w:rFonts w:hint="eastAsia"/>
          <w:color w:val="auto"/>
          <w:highlight w:val="none"/>
          <w:lang w:val="en-US" w:eastAsia="zh-CN"/>
        </w:rPr>
      </w:pPr>
      <w:r>
        <w:rPr>
          <w:rFonts w:hint="eastAsia"/>
          <w:color w:val="auto"/>
          <w:highlight w:val="none"/>
          <w:lang w:val="en-US" w:eastAsia="zh-CN"/>
        </w:rPr>
        <w:t>第三章  供应商须知</w:t>
      </w:r>
    </w:p>
    <w:p>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vAlign w:val="center"/>
          </w:tcPr>
          <w:p>
            <w:pPr>
              <w:pStyle w:val="13"/>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vAlign w:val="top"/>
          </w:tcPr>
          <w:p>
            <w:pPr>
              <w:pStyle w:val="13"/>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vAlign w:val="center"/>
          </w:tcPr>
          <w:p>
            <w:pPr>
              <w:pStyle w:val="13"/>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采购人：</w:t>
            </w:r>
            <w:r>
              <w:rPr>
                <w:rFonts w:hint="eastAsia" w:hAnsi="宋体" w:cs="宋体"/>
                <w:color w:val="auto"/>
                <w:highlight w:val="none"/>
                <w:lang w:val="en-US" w:eastAsia="zh-CN"/>
              </w:rPr>
              <w:t>广西钦保国际贸易有限公司</w:t>
            </w:r>
          </w:p>
          <w:p>
            <w:pPr>
              <w:pStyle w:val="13"/>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黄传钊</w:t>
            </w:r>
          </w:p>
          <w:p>
            <w:pPr>
              <w:pStyle w:val="13"/>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b w:val="0"/>
                <w:bCs/>
                <w:color w:val="auto"/>
                <w:sz w:val="24"/>
                <w:szCs w:val="24"/>
                <w:highlight w:val="none"/>
                <w:u w:val="none"/>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vAlign w:val="center"/>
          </w:tcPr>
          <w:p>
            <w:pPr>
              <w:pStyle w:val="13"/>
              <w:spacing w:line="360" w:lineRule="exact"/>
              <w:rPr>
                <w:rFonts w:hint="eastAsia" w:ascii="宋体" w:hAnsi="宋体" w:eastAsia="宋体" w:cs="宋体"/>
                <w:color w:val="auto"/>
                <w:szCs w:val="21"/>
                <w:highlight w:val="none"/>
              </w:rPr>
            </w:pPr>
            <w:r>
              <w:rPr>
                <w:rFonts w:hint="eastAsia" w:ascii="宋体" w:hAnsi="宋体" w:eastAsia="宋体" w:cs="宋体"/>
                <w:b w:val="0"/>
                <w:bCs/>
                <w:color w:val="auto"/>
                <w:sz w:val="24"/>
                <w:szCs w:val="24"/>
                <w:highlight w:val="none"/>
                <w:lang w:val="en-US" w:eastAsia="zh-CN"/>
              </w:rPr>
              <w:t>北部湾(钦州)国际粮食加工产业园项目大门施工工程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采购预算</w:t>
            </w:r>
          </w:p>
        </w:tc>
        <w:tc>
          <w:tcPr>
            <w:tcW w:w="6418" w:type="dxa"/>
            <w:vAlign w:val="center"/>
          </w:tcPr>
          <w:p>
            <w:pPr>
              <w:pStyle w:val="13"/>
              <w:spacing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人民币肆拾伍万贰仟叁佰贰拾肆元叁角叁分（￥：452324.33元）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w:t>
            </w:r>
          </w:p>
        </w:tc>
        <w:tc>
          <w:tcPr>
            <w:tcW w:w="1711" w:type="dxa"/>
            <w:vAlign w:val="center"/>
          </w:tcPr>
          <w:p>
            <w:pPr>
              <w:pStyle w:val="13"/>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418" w:type="dxa"/>
            <w:vAlign w:val="center"/>
          </w:tcPr>
          <w:p>
            <w:pPr>
              <w:pStyle w:val="13"/>
              <w:spacing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人民币肆拾伍万贰仟叁佰贰拾肆元叁角叁分（￥：452324.33元）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711" w:type="dxa"/>
            <w:vAlign w:val="center"/>
          </w:tcPr>
          <w:p>
            <w:pPr>
              <w:pStyle w:val="13"/>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vAlign w:val="center"/>
          </w:tcPr>
          <w:p>
            <w:pPr>
              <w:pStyle w:val="13"/>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eastAsia="zh-CN"/>
              </w:rPr>
              <w:t>招标</w:t>
            </w:r>
            <w:r>
              <w:rPr>
                <w:rFonts w:hint="eastAsia" w:ascii="宋体" w:hAnsi="宋体" w:eastAsia="宋体" w:cs="宋体"/>
                <w:color w:val="auto"/>
                <w:szCs w:val="21"/>
                <w:highlight w:val="none"/>
              </w:rPr>
              <w:t>文件的获取</w:t>
            </w:r>
          </w:p>
        </w:tc>
        <w:tc>
          <w:tcPr>
            <w:tcW w:w="6418" w:type="dxa"/>
            <w:vAlign w:val="center"/>
          </w:tcPr>
          <w:p>
            <w:pPr>
              <w:pStyle w:val="13"/>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"http://www.qbtzjt.com"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http://www.qbtzjt.com</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vAlign w:val="center"/>
          </w:tcPr>
          <w:p>
            <w:pPr>
              <w:pStyle w:val="13"/>
              <w:spacing w:line="360" w:lineRule="exact"/>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1.供应商应当具备下列条件</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1</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国内注册</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指按国家有关规定要求注册</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依法能提供本次采购</w:t>
            </w:r>
            <w:r>
              <w:rPr>
                <w:rFonts w:hint="eastAsia" w:ascii="宋体" w:hAnsi="宋体" w:eastAsia="宋体" w:cs="宋体"/>
                <w:b/>
                <w:bCs/>
                <w:color w:val="auto"/>
                <w:spacing w:val="6"/>
                <w:kern w:val="48"/>
                <w:highlight w:val="none"/>
              </w:rPr>
              <w:t>货物、工程和服务</w:t>
            </w:r>
            <w:r>
              <w:rPr>
                <w:rFonts w:hint="eastAsia" w:ascii="宋体" w:hAnsi="宋体" w:eastAsia="宋体" w:cs="宋体"/>
                <w:color w:val="auto"/>
                <w:spacing w:val="6"/>
                <w:kern w:val="48"/>
                <w:highlight w:val="none"/>
              </w:rPr>
              <w:t>的供应商</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2</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具有独立承担民事责任的能力</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3</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具有良好的商业信誉和健全的财务会计制度</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4</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具有履行合同所</w:t>
            </w:r>
            <w:bookmarkStart w:id="24" w:name="_GoBack"/>
            <w:bookmarkEnd w:id="24"/>
            <w:r>
              <w:rPr>
                <w:rFonts w:hint="eastAsia" w:ascii="宋体" w:hAnsi="宋体" w:eastAsia="宋体" w:cs="宋体"/>
                <w:color w:val="auto"/>
                <w:spacing w:val="6"/>
                <w:kern w:val="48"/>
                <w:highlight w:val="none"/>
              </w:rPr>
              <w:t>必需的设备和专业技术能力</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5</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有依法缴纳税收和社会保障资金的良好记录</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6</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参加采购活动前三年内</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在经营活动中没有重大违法记录</w:t>
            </w:r>
            <w:r>
              <w:rPr>
                <w:rFonts w:hint="eastAsia" w:hAnsi="宋体" w:cs="宋体"/>
                <w:color w:val="auto"/>
                <w:spacing w:val="6"/>
                <w:kern w:val="48"/>
                <w:highlight w:val="none"/>
                <w:lang w:eastAsia="zh-CN"/>
              </w:rPr>
              <w:t>；</w:t>
            </w:r>
          </w:p>
          <w:p>
            <w:pPr>
              <w:pStyle w:val="13"/>
              <w:spacing w:line="360" w:lineRule="exact"/>
              <w:rPr>
                <w:rFonts w:hint="eastAsia" w:ascii="宋体" w:hAnsi="宋体" w:eastAsia="宋体" w:cs="宋体"/>
                <w:color w:val="auto"/>
                <w:spacing w:val="6"/>
                <w:kern w:val="48"/>
                <w:highlight w:val="none"/>
                <w:lang w:eastAsia="zh-CN"/>
              </w:rPr>
            </w:pP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7</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法律、行政法规规定的其他条件</w:t>
            </w:r>
            <w:r>
              <w:rPr>
                <w:rFonts w:hint="eastAsia" w:hAnsi="宋体" w:cs="宋体"/>
                <w:color w:val="auto"/>
                <w:spacing w:val="6"/>
                <w:kern w:val="4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color w:val="auto"/>
                <w:highlight w:val="none"/>
                <w:lang w:val="en-US" w:eastAsia="zh-CN"/>
              </w:rPr>
            </w:pPr>
            <w:r>
              <w:rPr>
                <w:rFonts w:hint="eastAsia" w:ascii="宋体" w:hAnsi="宋体" w:eastAsia="宋体" w:cs="宋体"/>
                <w:b w:val="0"/>
                <w:bCs/>
                <w:color w:val="auto"/>
                <w:sz w:val="21"/>
                <w:szCs w:val="21"/>
                <w:highlight w:val="none"/>
                <w:lang w:val="en-US" w:eastAsia="zh-CN"/>
              </w:rPr>
              <w:t>（8）具备市政公用工程施工总承包叁级及以上级资质（含叁级），并在人员、设备、资金等方面具备相应的施工能力。</w:t>
            </w:r>
          </w:p>
          <w:p>
            <w:pPr>
              <w:pStyle w:val="13"/>
              <w:spacing w:line="360" w:lineRule="exact"/>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2.单位负责人为同一人或者存在直接控股、管理关系的不同供应商</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不得参加同一合同项下的采购活动。</w:t>
            </w:r>
          </w:p>
          <w:p>
            <w:pPr>
              <w:pStyle w:val="13"/>
              <w:spacing w:line="360" w:lineRule="exact"/>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3.参加采购活动前三年内</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在经营活动中没有重大违法记录和不良信用记录</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在</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信用中国</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网站www.creditchina.gov.cn</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将被拒绝参与本次采购活动</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w:t>
            </w:r>
          </w:p>
          <w:p>
            <w:pPr>
              <w:pStyle w:val="13"/>
              <w:spacing w:line="360" w:lineRule="exact"/>
              <w:rPr>
                <w:rFonts w:hint="eastAsia" w:ascii="宋体" w:hAnsi="宋体" w:eastAsia="宋体" w:cs="宋体"/>
                <w:color w:val="auto"/>
                <w:spacing w:val="6"/>
                <w:kern w:val="48"/>
                <w:highlight w:val="none"/>
                <w:lang w:eastAsia="zh-CN"/>
              </w:rPr>
            </w:pPr>
            <w:r>
              <w:rPr>
                <w:rFonts w:hint="eastAsia" w:ascii="宋体" w:hAnsi="宋体" w:eastAsia="宋体" w:cs="宋体"/>
                <w:color w:val="auto"/>
                <w:spacing w:val="6"/>
                <w:kern w:val="48"/>
                <w:highlight w:val="none"/>
              </w:rPr>
              <w:t>4.本项目的特定资格要求</w:t>
            </w:r>
            <w:r>
              <w:rPr>
                <w:rFonts w:hint="eastAsia" w:hAnsi="宋体" w:cs="宋体"/>
                <w:color w:val="auto"/>
                <w:spacing w:val="6"/>
                <w:kern w:val="48"/>
                <w:highlight w:val="none"/>
                <w:lang w:eastAsia="zh-CN"/>
              </w:rPr>
              <w:t>：</w:t>
            </w:r>
            <w:r>
              <w:rPr>
                <w:rFonts w:hint="eastAsia" w:ascii="宋体" w:hAnsi="宋体" w:eastAsia="宋体" w:cs="宋体"/>
                <w:color w:val="auto"/>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vAlign w:val="center"/>
          </w:tcPr>
          <w:p>
            <w:pPr>
              <w:pStyle w:val="13"/>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13</w:t>
            </w: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vAlign w:val="center"/>
          </w:tcPr>
          <w:p>
            <w:pPr>
              <w:pStyle w:val="13"/>
              <w:spacing w:line="360" w:lineRule="exact"/>
              <w:rPr>
                <w:rFonts w:hint="default"/>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default"/>
                <w:b/>
                <w:bCs/>
                <w:color w:val="auto"/>
                <w:highlight w:val="none"/>
              </w:rPr>
              <w:t>，副本两份</w:t>
            </w:r>
          </w:p>
          <w:p>
            <w:pPr>
              <w:rPr>
                <w:rFonts w:hint="eastAsia"/>
                <w:color w:val="auto"/>
                <w:highlight w:val="none"/>
              </w:rPr>
            </w:pPr>
            <w:r>
              <w:rPr>
                <w:rFonts w:hint="eastAsia" w:ascii="宋体" w:hAnsi="宋体" w:eastAsia="宋体" w:cs="宋体"/>
                <w:color w:val="auto"/>
                <w:spacing w:val="6"/>
                <w:kern w:val="48"/>
                <w:szCs w:val="21"/>
                <w:highlight w:val="none"/>
              </w:rPr>
              <w:t>供应商必须在首次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18</w:t>
            </w:r>
          </w:p>
        </w:tc>
        <w:tc>
          <w:tcPr>
            <w:tcW w:w="1711" w:type="dxa"/>
            <w:vAlign w:val="center"/>
          </w:tcPr>
          <w:p>
            <w:pPr>
              <w:pStyle w:val="13"/>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vAlign w:val="center"/>
          </w:tcPr>
          <w:p>
            <w:pPr>
              <w:pStyle w:val="13"/>
              <w:spacing w:line="360" w:lineRule="exact"/>
              <w:rPr>
                <w:rFonts w:hint="default"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rPr>
            </w:pP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vAlign w:val="center"/>
          </w:tcPr>
          <w:p>
            <w:pPr>
              <w:pStyle w:val="13"/>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rPr>
            </w:pP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vAlign w:val="center"/>
          </w:tcPr>
          <w:p>
            <w:pPr>
              <w:pStyle w:val="13"/>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rPr>
            </w:pP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vAlign w:val="center"/>
          </w:tcPr>
          <w:p>
            <w:pPr>
              <w:pStyle w:val="13"/>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w:t>
            </w:r>
            <w:r>
              <w:rPr>
                <w:rFonts w:hint="eastAsia" w:hAnsi="宋体" w:cs="宋体"/>
                <w:color w:val="auto"/>
                <w:szCs w:val="24"/>
                <w:highlight w:val="none"/>
                <w:lang w:val="en-US" w:eastAsia="zh-CN"/>
              </w:rPr>
              <w:t>竞争性磋商</w:t>
            </w:r>
            <w:r>
              <w:rPr>
                <w:rFonts w:hint="eastAsia" w:ascii="宋体" w:hAnsi="宋体" w:eastAsia="宋体" w:cs="宋体"/>
                <w:color w:val="auto"/>
                <w:szCs w:val="24"/>
                <w:highlight w:val="none"/>
              </w:rPr>
              <w:t>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eastAsia="zh-CN"/>
              </w:rPr>
            </w:pP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vAlign w:val="center"/>
          </w:tcPr>
          <w:p>
            <w:pPr>
              <w:pStyle w:val="13"/>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w:t>
            </w:r>
            <w:r>
              <w:rPr>
                <w:rFonts w:hint="eastAsia" w:hAnsi="宋体" w:cs="宋体"/>
                <w:color w:val="auto"/>
                <w:szCs w:val="24"/>
                <w:highlight w:val="none"/>
                <w:lang w:val="en-US" w:eastAsia="zh-CN"/>
              </w:rPr>
              <w:t>竞争性磋商</w:t>
            </w:r>
            <w:r>
              <w:rPr>
                <w:rFonts w:hint="eastAsia" w:ascii="宋体" w:hAnsi="宋体" w:eastAsia="宋体" w:cs="宋体"/>
                <w:color w:val="auto"/>
                <w:szCs w:val="24"/>
                <w:highlight w:val="none"/>
              </w:rPr>
              <w:t>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spacing w:line="360" w:lineRule="exact"/>
              <w:jc w:val="center"/>
              <w:rPr>
                <w:rFonts w:hint="default" w:ascii="宋体" w:hAnsi="宋体" w:eastAsia="宋体" w:cs="宋体"/>
                <w:color w:val="auto"/>
                <w:highlight w:val="none"/>
                <w:lang w:val="en-US" w:eastAsia="zh-CN"/>
              </w:rPr>
            </w:pPr>
          </w:p>
        </w:tc>
        <w:tc>
          <w:tcPr>
            <w:tcW w:w="1711" w:type="dxa"/>
            <w:vAlign w:val="center"/>
          </w:tcPr>
          <w:p>
            <w:pPr>
              <w:pStyle w:val="13"/>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eastAsia="zh-CN"/>
              </w:rPr>
              <w:t>磋商</w:t>
            </w:r>
            <w:r>
              <w:rPr>
                <w:rFonts w:hint="eastAsia" w:ascii="宋体" w:hAnsi="宋体" w:eastAsia="宋体" w:cs="宋体"/>
                <w:color w:val="auto"/>
                <w:highlight w:val="none"/>
              </w:rPr>
              <w:t>时间和地点</w:t>
            </w:r>
          </w:p>
        </w:tc>
        <w:tc>
          <w:tcPr>
            <w:tcW w:w="6418" w:type="dxa"/>
            <w:vAlign w:val="center"/>
          </w:tcPr>
          <w:p>
            <w:pPr>
              <w:pStyle w:val="13"/>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3"/>
              <w:adjustRightInd w:val="0"/>
              <w:spacing w:line="360" w:lineRule="exact"/>
              <w:jc w:val="center"/>
              <w:rPr>
                <w:rFonts w:hint="default" w:ascii="宋体" w:hAnsi="宋体" w:eastAsia="宋体" w:cs="宋体"/>
                <w:color w:val="auto"/>
                <w:szCs w:val="21"/>
                <w:highlight w:val="none"/>
                <w:lang w:val="en-US" w:eastAsia="zh-CN"/>
              </w:rPr>
            </w:pPr>
          </w:p>
        </w:tc>
        <w:tc>
          <w:tcPr>
            <w:tcW w:w="1711" w:type="dxa"/>
            <w:vAlign w:val="center"/>
          </w:tcPr>
          <w:p>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pPr>
              <w:pStyle w:val="13"/>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pPr>
        <w:pStyle w:val="41"/>
        <w:rPr>
          <w:rFonts w:hint="default"/>
          <w:color w:val="auto"/>
          <w:highlight w:val="none"/>
        </w:rPr>
      </w:pPr>
      <w:r>
        <w:rPr>
          <w:rFonts w:hint="default"/>
          <w:color w:val="auto"/>
          <w:highlight w:val="none"/>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采购预算：见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1.4最高限价：</w:t>
      </w:r>
      <w:r>
        <w:rPr>
          <w:rFonts w:hint="default" w:ascii="宋体" w:hAnsi="宋体" w:eastAsia="宋体" w:cs="宋体"/>
          <w:color w:val="auto"/>
          <w:sz w:val="24"/>
          <w:szCs w:val="24"/>
          <w:highlight w:val="none"/>
          <w:lang w:bidi="zh-CN"/>
        </w:rPr>
        <w:t>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5</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6</w:t>
      </w:r>
      <w:r>
        <w:rPr>
          <w:rFonts w:hint="default" w:ascii="宋体" w:hAnsi="宋体" w:eastAsia="宋体" w:cs="宋体"/>
          <w:color w:val="auto"/>
          <w:sz w:val="24"/>
          <w:szCs w:val="24"/>
          <w:highlight w:val="none"/>
          <w:lang w:bidi="zh-CN"/>
        </w:rPr>
        <w:t>获取竞争性</w:t>
      </w:r>
      <w:r>
        <w:rPr>
          <w:rFonts w:hint="eastAsia" w:ascii="宋体" w:hAnsi="宋体" w:eastAsia="宋体" w:cs="宋体"/>
          <w:color w:val="auto"/>
          <w:sz w:val="24"/>
          <w:szCs w:val="24"/>
          <w:highlight w:val="none"/>
          <w:lang w:bidi="zh-CN"/>
        </w:rPr>
        <w:t>磋商</w:t>
      </w:r>
      <w:r>
        <w:rPr>
          <w:rFonts w:hint="default" w:ascii="宋体" w:hAnsi="宋体" w:eastAsia="宋体" w:cs="宋体"/>
          <w:color w:val="auto"/>
          <w:sz w:val="24"/>
          <w:szCs w:val="24"/>
          <w:highlight w:val="none"/>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与本项目相关的采购业务信息（包括竞争性</w:t>
      </w:r>
      <w:r>
        <w:rPr>
          <w:rFonts w:hint="eastAsia" w:ascii="宋体" w:hAnsi="宋体" w:eastAsia="宋体" w:cs="宋体"/>
          <w:color w:val="auto"/>
          <w:sz w:val="24"/>
          <w:szCs w:val="24"/>
          <w:highlight w:val="none"/>
          <w:lang w:bidi="zh-CN"/>
        </w:rPr>
        <w:t>磋商</w:t>
      </w:r>
      <w:r>
        <w:rPr>
          <w:rFonts w:hint="default" w:ascii="宋体" w:hAnsi="宋体" w:eastAsia="宋体" w:cs="宋体"/>
          <w:color w:val="auto"/>
          <w:sz w:val="24"/>
          <w:szCs w:val="24"/>
          <w:highlight w:val="none"/>
          <w:lang w:bidi="zh-CN"/>
        </w:rPr>
        <w:t>公告、竞争性</w:t>
      </w:r>
      <w:r>
        <w:rPr>
          <w:rFonts w:hint="eastAsia" w:ascii="宋体" w:hAnsi="宋体" w:eastAsia="宋体" w:cs="宋体"/>
          <w:color w:val="auto"/>
          <w:sz w:val="24"/>
          <w:szCs w:val="24"/>
          <w:highlight w:val="none"/>
          <w:lang w:bidi="zh-CN"/>
        </w:rPr>
        <w:t>磋商</w:t>
      </w:r>
      <w:r>
        <w:rPr>
          <w:rFonts w:hint="eastAsia" w:ascii="宋体" w:hAnsi="宋体" w:eastAsia="宋体" w:cs="宋体"/>
          <w:color w:val="auto"/>
          <w:sz w:val="24"/>
          <w:szCs w:val="24"/>
          <w:highlight w:val="none"/>
          <w:lang w:val="en-US" w:bidi="zh-CN"/>
        </w:rPr>
        <w:t>文件、</w:t>
      </w:r>
      <w:r>
        <w:rPr>
          <w:rFonts w:hint="default" w:ascii="宋体" w:hAnsi="宋体" w:eastAsia="宋体" w:cs="宋体"/>
          <w:color w:val="auto"/>
          <w:sz w:val="24"/>
          <w:szCs w:val="24"/>
          <w:highlight w:val="none"/>
          <w:lang w:bidi="zh-CN"/>
        </w:rPr>
        <w:t>成交公告及其更正事项等）将在以下媒体上发布：广西自贸区钦州港片区开发投资集团有限责任公司网站</w:t>
      </w:r>
      <w:r>
        <w:rPr>
          <w:rFonts w:hint="default" w:ascii="宋体" w:hAnsi="宋体" w:eastAsia="宋体" w:cs="宋体"/>
          <w:color w:val="auto"/>
          <w:sz w:val="24"/>
          <w:szCs w:val="24"/>
          <w:highlight w:val="none"/>
          <w:lang w:bidi="zh-CN"/>
        </w:rPr>
        <w:fldChar w:fldCharType="begin"/>
      </w:r>
      <w:r>
        <w:rPr>
          <w:rFonts w:hint="default" w:ascii="宋体" w:hAnsi="宋体" w:eastAsia="宋体" w:cs="宋体"/>
          <w:color w:val="auto"/>
          <w:sz w:val="24"/>
          <w:szCs w:val="24"/>
          <w:highlight w:val="none"/>
          <w:lang w:bidi="zh-CN"/>
        </w:rPr>
        <w:instrText xml:space="preserve"> HYPERLINK "http://www.qbtzjt.com" </w:instrText>
      </w:r>
      <w:r>
        <w:rPr>
          <w:rFonts w:hint="default" w:ascii="宋体" w:hAnsi="宋体" w:eastAsia="宋体" w:cs="宋体"/>
          <w:color w:val="auto"/>
          <w:sz w:val="24"/>
          <w:szCs w:val="24"/>
          <w:highlight w:val="none"/>
          <w:lang w:bidi="zh-CN"/>
        </w:rPr>
        <w:fldChar w:fldCharType="separate"/>
      </w:r>
      <w:r>
        <w:rPr>
          <w:rStyle w:val="24"/>
          <w:rFonts w:hint="default" w:ascii="宋体" w:hAnsi="宋体" w:eastAsia="宋体" w:cs="宋体"/>
          <w:color w:val="auto"/>
          <w:sz w:val="24"/>
          <w:szCs w:val="24"/>
          <w:highlight w:val="none"/>
          <w:lang w:bidi="zh-CN"/>
        </w:rPr>
        <w:t>http://www.qbtzjt.com</w:t>
      </w:r>
      <w:r>
        <w:rPr>
          <w:rFonts w:hint="default" w:ascii="宋体" w:hAnsi="宋体" w:eastAsia="宋体" w:cs="宋体"/>
          <w:color w:val="auto"/>
          <w:sz w:val="24"/>
          <w:szCs w:val="24"/>
          <w:highlight w:val="none"/>
          <w:lang w:bidi="zh-CN"/>
        </w:rPr>
        <w:fldChar w:fldCharType="end"/>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竞争性磋商</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并对其提交的响应文件的真实性、合法性承担法律责任。响应文件必须对竞争性</w:t>
      </w:r>
      <w:r>
        <w:rPr>
          <w:rFonts w:hint="eastAsia" w:ascii="宋体" w:hAnsi="宋体" w:eastAsia="宋体" w:cs="宋体"/>
          <w:color w:val="auto"/>
          <w:sz w:val="24"/>
          <w:szCs w:val="24"/>
          <w:highlight w:val="none"/>
          <w:lang w:bidi="zh-CN"/>
        </w:rPr>
        <w:t>磋商</w:t>
      </w:r>
      <w:r>
        <w:rPr>
          <w:rFonts w:hint="default" w:ascii="宋体" w:hAnsi="宋体" w:eastAsia="宋体" w:cs="宋体"/>
          <w:color w:val="auto"/>
          <w:sz w:val="24"/>
          <w:szCs w:val="24"/>
          <w:highlight w:val="none"/>
          <w:lang w:bidi="zh-CN"/>
        </w:rPr>
        <w:t>文件作出实质性响应。</w:t>
      </w:r>
    </w:p>
    <w:p>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.1.1资格证明文件：详见供应商须知前附表</w:t>
      </w:r>
      <w:r>
        <w:rPr>
          <w:rFonts w:hint="eastAsia" w:ascii="宋体" w:hAnsi="宋体" w:eastAsia="宋体" w:cs="宋体"/>
          <w:color w:val="auto"/>
          <w:sz w:val="24"/>
          <w:szCs w:val="24"/>
          <w:highlight w:val="none"/>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资格证明文件、报价商务技术文件按顺序装订成册。响应文件正本一份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pPr>
        <w:pStyle w:val="39"/>
        <w:rPr>
          <w:rFonts w:hint="eastAsia"/>
          <w:color w:val="auto"/>
          <w:highlight w:val="none"/>
          <w:lang w:val="en-US" w:eastAsia="zh-CN"/>
        </w:rPr>
      </w:pPr>
      <w:r>
        <w:rPr>
          <w:rFonts w:hint="eastAsia"/>
          <w:color w:val="auto"/>
          <w:highlight w:val="none"/>
          <w:lang w:val="en-US" w:eastAsia="zh-CN"/>
        </w:rPr>
        <w:t>第四章  评审办法</w:t>
      </w:r>
    </w:p>
    <w:p>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磋商</w:t>
      </w:r>
      <w:r>
        <w:rPr>
          <w:rFonts w:hint="eastAsia" w:ascii="宋体" w:hAnsi="宋体" w:eastAsia="宋体" w:cs="宋体"/>
          <w:color w:val="auto"/>
          <w:highlight w:val="none"/>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ar"/>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r>
        <w:rPr>
          <w:rFonts w:hint="eastAsia" w:ascii="宋体" w:hAnsi="宋体" w:eastAsia="宋体" w:cs="宋体"/>
          <w:b w:val="0"/>
          <w:bCs w:val="0"/>
          <w:color w:val="auto"/>
          <w:kern w:val="2"/>
          <w:sz w:val="24"/>
          <w:szCs w:val="24"/>
          <w:highlight w:val="none"/>
          <w:lang w:val="en-US" w:eastAsia="zh-CN" w:bidi="zh-CN"/>
        </w:rPr>
        <w:t>。</w:t>
      </w:r>
    </w:p>
    <w:p>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color w:val="auto"/>
          <w:highlight w:val="none"/>
          <w:lang w:val="en-US" w:eastAsia="zh-CN"/>
        </w:rPr>
        <w:br w:type="page"/>
      </w:r>
      <w:r>
        <w:rPr>
          <w:rFonts w:hint="eastAsia" w:ascii="宋体" w:hAnsi="宋体" w:eastAsia="宋体" w:cs="宋体"/>
          <w:b/>
          <w:bCs/>
          <w:i w:val="0"/>
          <w:iCs w:val="0"/>
          <w:caps w:val="0"/>
          <w:color w:val="auto"/>
          <w:spacing w:val="0"/>
          <w:sz w:val="36"/>
          <w:szCs w:val="36"/>
          <w:highlight w:val="none"/>
          <w:shd w:val="clear" w:fill="FFFFFF"/>
          <w:lang w:val="en-US" w:eastAsia="zh-CN"/>
        </w:rPr>
        <w:t>第五章、定标方式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auto"/>
          <w:spacing w:val="0"/>
          <w:sz w:val="28"/>
          <w:szCs w:val="28"/>
          <w:highlight w:val="none"/>
          <w:u w:val="none"/>
          <w:shd w:val="clear" w:fill="FFFFFF"/>
          <w:vertAlign w:val="baseline"/>
          <w:lang w:eastAsia="zh-CN"/>
        </w:rPr>
      </w:pPr>
      <w:r>
        <w:rPr>
          <w:rFonts w:hint="eastAsia" w:ascii="宋体" w:hAnsi="宋体" w:eastAsia="宋体" w:cs="宋体"/>
          <w:i w:val="0"/>
          <w:iCs w:val="0"/>
          <w:caps w:val="0"/>
          <w:color w:val="auto"/>
          <w:spacing w:val="0"/>
          <w:sz w:val="28"/>
          <w:szCs w:val="28"/>
          <w:highlight w:val="none"/>
          <w:u w:val="none"/>
          <w:shd w:val="clear" w:fill="FFFFFF"/>
          <w:vertAlign w:val="baseline"/>
        </w:rPr>
        <w:t>综合评</w:t>
      </w:r>
      <w:r>
        <w:rPr>
          <w:rFonts w:hint="eastAsia" w:ascii="宋体" w:hAnsi="宋体" w:eastAsia="宋体" w:cs="宋体"/>
          <w:i w:val="0"/>
          <w:iCs w:val="0"/>
          <w:caps w:val="0"/>
          <w:color w:val="auto"/>
          <w:spacing w:val="0"/>
          <w:sz w:val="28"/>
          <w:szCs w:val="28"/>
          <w:highlight w:val="none"/>
          <w:u w:val="none"/>
          <w:shd w:val="clear" w:fill="FFFFFF"/>
          <w:vertAlign w:val="baseline"/>
          <w:lang w:eastAsia="zh-CN"/>
        </w:rPr>
        <w:t>分</w:t>
      </w:r>
      <w:r>
        <w:rPr>
          <w:rFonts w:hint="eastAsia" w:ascii="宋体" w:hAnsi="宋体" w:eastAsia="宋体" w:cs="宋体"/>
          <w:i w:val="0"/>
          <w:iCs w:val="0"/>
          <w:caps w:val="0"/>
          <w:color w:val="auto"/>
          <w:spacing w:val="0"/>
          <w:sz w:val="28"/>
          <w:szCs w:val="28"/>
          <w:highlight w:val="none"/>
          <w:u w:val="none"/>
          <w:shd w:val="clear" w:fill="FFFFFF"/>
          <w:vertAlign w:val="baseline"/>
        </w:rPr>
        <w:t>法</w:t>
      </w:r>
      <w:r>
        <w:rPr>
          <w:rFonts w:hint="eastAsia" w:ascii="仿宋" w:hAnsi="仿宋" w:eastAsia="仿宋" w:cs="仿宋"/>
          <w:i w:val="0"/>
          <w:iCs w:val="0"/>
          <w:caps w:val="0"/>
          <w:color w:val="auto"/>
          <w:spacing w:val="0"/>
          <w:sz w:val="28"/>
          <w:szCs w:val="28"/>
          <w:highlight w:val="none"/>
          <w:u w:val="none"/>
          <w:shd w:val="clear" w:fill="FFFFFF"/>
          <w:vertAlign w:val="baseline"/>
          <w:lang w:eastAsia="zh-CN"/>
        </w:rPr>
        <w:t>（</w:t>
      </w:r>
      <w: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t>附上打分的标准及规则</w:t>
      </w:r>
      <w:r>
        <w:rPr>
          <w:rFonts w:hint="eastAsia" w:ascii="仿宋" w:hAnsi="仿宋" w:eastAsia="仿宋" w:cs="仿宋"/>
          <w:i w:val="0"/>
          <w:iCs w:val="0"/>
          <w:caps w:val="0"/>
          <w:color w:val="auto"/>
          <w:spacing w:val="0"/>
          <w:sz w:val="28"/>
          <w:szCs w:val="28"/>
          <w:highlight w:val="none"/>
          <w:u w:val="none"/>
          <w:shd w:val="clear" w:fill="FFFFFF"/>
          <w:vertAlign w:val="baseline"/>
          <w:lang w:eastAsia="zh-CN"/>
        </w:rPr>
        <w:t>）</w:t>
      </w:r>
    </w:p>
    <w:p>
      <w:pPr>
        <w:spacing w:line="380" w:lineRule="exact"/>
        <w:ind w:firstLine="480" w:firstLineChars="200"/>
        <w:rPr>
          <w:color w:val="auto"/>
          <w:highlight w:val="none"/>
        </w:rPr>
      </w:pPr>
      <w:r>
        <w:rPr>
          <w:rFonts w:hint="eastAsia" w:ascii="宋体" w:hAnsi="宋体" w:eastAsia="宋体" w:cs="宋体"/>
          <w:b w:val="0"/>
          <w:bCs w:val="0"/>
          <w:color w:val="auto"/>
          <w:kern w:val="2"/>
          <w:sz w:val="24"/>
          <w:szCs w:val="24"/>
          <w:highlight w:val="none"/>
          <w:lang w:val="en-US" w:eastAsia="zh-CN" w:bidi="zh-CN"/>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3"/>
        <w:spacing w:line="380" w:lineRule="exact"/>
        <w:rPr>
          <w:color w:val="auto"/>
          <w:highlight w:val="none"/>
        </w:rPr>
      </w:pPr>
      <w:bookmarkStart w:id="0" w:name="_Toc144974557"/>
      <w:bookmarkStart w:id="1" w:name="_Toc369951717"/>
      <w:bookmarkStart w:id="2" w:name="_Toc179632608"/>
      <w:bookmarkStart w:id="3" w:name="_Toc13168"/>
      <w:bookmarkStart w:id="4" w:name="_Toc152045590"/>
      <w:bookmarkStart w:id="5" w:name="_Toc152042367"/>
      <w:r>
        <w:rPr>
          <w:rFonts w:hint="eastAsia"/>
          <w:color w:val="auto"/>
          <w:highlight w:val="none"/>
          <w:lang w:val="en-US" w:eastAsia="zh-CN"/>
        </w:rPr>
        <w:t>21</w:t>
      </w:r>
      <w:r>
        <w:rPr>
          <w:rFonts w:hint="eastAsia"/>
          <w:color w:val="auto"/>
          <w:highlight w:val="none"/>
        </w:rPr>
        <w:t>. 评审标准</w:t>
      </w:r>
      <w:bookmarkEnd w:id="0"/>
      <w:bookmarkEnd w:id="1"/>
      <w:bookmarkEnd w:id="2"/>
      <w:bookmarkEnd w:id="3"/>
      <w:bookmarkEnd w:id="4"/>
      <w:bookmarkEnd w:id="5"/>
    </w:p>
    <w:p>
      <w:pPr>
        <w:pStyle w:val="44"/>
        <w:spacing w:line="380" w:lineRule="exact"/>
        <w:rPr>
          <w:color w:val="auto"/>
          <w:highlight w:val="none"/>
        </w:rPr>
      </w:pPr>
      <w:bookmarkStart w:id="6" w:name="_Toc152045591"/>
      <w:bookmarkStart w:id="7" w:name="_Toc152042368"/>
      <w:bookmarkStart w:id="8" w:name="_Toc144974558"/>
      <w:bookmarkStart w:id="9" w:name="_Toc369951718"/>
      <w:bookmarkStart w:id="10" w:name="_Toc7104"/>
      <w:bookmarkStart w:id="11" w:name="_Toc179632609"/>
      <w:r>
        <w:rPr>
          <w:rFonts w:hint="eastAsia"/>
          <w:color w:val="auto"/>
          <w:highlight w:val="none"/>
        </w:rPr>
        <w:t>2</w:t>
      </w:r>
      <w:r>
        <w:rPr>
          <w:rFonts w:hint="eastAsia"/>
          <w:color w:val="auto"/>
          <w:highlight w:val="none"/>
          <w:lang w:val="en-US" w:eastAsia="zh-CN"/>
        </w:rPr>
        <w:t>1</w:t>
      </w:r>
      <w:r>
        <w:rPr>
          <w:rFonts w:hint="eastAsia"/>
          <w:color w:val="auto"/>
          <w:highlight w:val="none"/>
        </w:rPr>
        <w:t>.1 初步评审标准</w:t>
      </w:r>
      <w:bookmarkEnd w:id="6"/>
      <w:bookmarkEnd w:id="7"/>
      <w:bookmarkEnd w:id="8"/>
      <w:bookmarkEnd w:id="9"/>
      <w:bookmarkEnd w:id="10"/>
      <w:bookmarkEnd w:id="11"/>
    </w:p>
    <w:p>
      <w:pPr>
        <w:spacing w:line="380" w:lineRule="exact"/>
        <w:ind w:firstLine="420" w:firstLineChars="200"/>
        <w:rPr>
          <w:rFonts w:hint="eastAsia"/>
          <w:color w:val="auto"/>
          <w:highlight w:val="none"/>
        </w:rPr>
      </w:pPr>
      <w:r>
        <w:rPr>
          <w:rFonts w:hint="eastAsia"/>
          <w:color w:val="auto"/>
          <w:highlight w:val="none"/>
        </w:rPr>
        <w:t>2.1.1 资格评审标准：见评标办法</w:t>
      </w:r>
      <w:r>
        <w:rPr>
          <w:rFonts w:hint="eastAsia"/>
          <w:color w:val="auto"/>
          <w:highlight w:val="none"/>
          <w:lang w:eastAsia="zh-CN"/>
        </w:rPr>
        <w:t>表</w:t>
      </w:r>
      <w:r>
        <w:rPr>
          <w:rFonts w:hint="eastAsia"/>
          <w:color w:val="auto"/>
          <w:highlight w:val="none"/>
        </w:rPr>
        <w:t>。</w:t>
      </w:r>
    </w:p>
    <w:p>
      <w:pPr>
        <w:spacing w:line="380" w:lineRule="exact"/>
        <w:ind w:firstLine="420" w:firstLineChars="200"/>
        <w:rPr>
          <w:color w:val="auto"/>
          <w:highlight w:val="none"/>
        </w:rPr>
      </w:pPr>
      <w:r>
        <w:rPr>
          <w:rFonts w:hint="eastAsia"/>
          <w:color w:val="auto"/>
          <w:highlight w:val="none"/>
        </w:rPr>
        <w:t>2.1.2 形式评审标准：见评标办法</w:t>
      </w:r>
      <w:r>
        <w:rPr>
          <w:rFonts w:hint="eastAsia"/>
          <w:color w:val="auto"/>
          <w:highlight w:val="none"/>
          <w:lang w:eastAsia="zh-CN"/>
        </w:rPr>
        <w:t>表</w:t>
      </w:r>
      <w:r>
        <w:rPr>
          <w:rFonts w:hint="eastAsia"/>
          <w:color w:val="auto"/>
          <w:highlight w:val="none"/>
        </w:rPr>
        <w:t>。</w:t>
      </w:r>
    </w:p>
    <w:p>
      <w:pPr>
        <w:spacing w:line="380" w:lineRule="exact"/>
        <w:ind w:firstLine="420" w:firstLineChars="200"/>
        <w:rPr>
          <w:color w:val="auto"/>
          <w:highlight w:val="none"/>
        </w:rPr>
      </w:pPr>
      <w:r>
        <w:rPr>
          <w:rFonts w:hint="eastAsia"/>
          <w:color w:val="auto"/>
          <w:highlight w:val="none"/>
        </w:rPr>
        <w:t>2.1.3 响应性评审标准：见评标办法</w:t>
      </w:r>
      <w:r>
        <w:rPr>
          <w:rFonts w:hint="eastAsia"/>
          <w:color w:val="auto"/>
          <w:highlight w:val="none"/>
          <w:lang w:eastAsia="zh-CN"/>
        </w:rPr>
        <w:t>表</w:t>
      </w:r>
      <w:r>
        <w:rPr>
          <w:rFonts w:hint="eastAsia"/>
          <w:color w:val="auto"/>
          <w:highlight w:val="none"/>
        </w:rPr>
        <w:t>。</w:t>
      </w:r>
    </w:p>
    <w:p>
      <w:pPr>
        <w:pStyle w:val="44"/>
        <w:spacing w:line="380" w:lineRule="exact"/>
        <w:rPr>
          <w:color w:val="auto"/>
          <w:highlight w:val="none"/>
        </w:rPr>
      </w:pPr>
      <w:bookmarkStart w:id="12" w:name="_Toc369951719"/>
      <w:bookmarkStart w:id="13" w:name="_Toc179632610"/>
      <w:bookmarkStart w:id="14" w:name="_Toc10873"/>
      <w:bookmarkStart w:id="15" w:name="_Toc152045592"/>
      <w:bookmarkStart w:id="16" w:name="_Toc144974559"/>
      <w:bookmarkStart w:id="17" w:name="_Toc152042369"/>
      <w:r>
        <w:rPr>
          <w:rFonts w:hint="eastAsia"/>
          <w:color w:val="auto"/>
          <w:highlight w:val="none"/>
        </w:rPr>
        <w:t>2</w:t>
      </w:r>
      <w:r>
        <w:rPr>
          <w:rFonts w:hint="eastAsia"/>
          <w:color w:val="auto"/>
          <w:highlight w:val="none"/>
          <w:lang w:val="en-US" w:eastAsia="zh-CN"/>
        </w:rPr>
        <w:t>1</w:t>
      </w:r>
      <w:r>
        <w:rPr>
          <w:rFonts w:hint="eastAsia"/>
          <w:color w:val="auto"/>
          <w:highlight w:val="none"/>
        </w:rPr>
        <w:t>.2 详细评审标准</w:t>
      </w:r>
      <w:bookmarkEnd w:id="12"/>
      <w:bookmarkEnd w:id="13"/>
      <w:bookmarkEnd w:id="14"/>
      <w:bookmarkEnd w:id="15"/>
      <w:bookmarkEnd w:id="16"/>
      <w:bookmarkEnd w:id="17"/>
    </w:p>
    <w:p>
      <w:pPr>
        <w:spacing w:line="380" w:lineRule="exact"/>
        <w:ind w:firstLine="315" w:firstLineChars="150"/>
        <w:rPr>
          <w:color w:val="auto"/>
          <w:highlight w:val="none"/>
        </w:rPr>
      </w:pPr>
      <w:r>
        <w:rPr>
          <w:rFonts w:hint="eastAsia"/>
          <w:color w:val="auto"/>
          <w:highlight w:val="none"/>
        </w:rPr>
        <w:t>见评标办法</w:t>
      </w:r>
      <w:r>
        <w:rPr>
          <w:rFonts w:hint="eastAsia"/>
          <w:color w:val="auto"/>
          <w:highlight w:val="none"/>
          <w:lang w:eastAsia="zh-CN"/>
        </w:rPr>
        <w:t>表</w:t>
      </w:r>
      <w:r>
        <w:rPr>
          <w:rFonts w:hint="eastAsia"/>
          <w:color w:val="auto"/>
          <w:highlight w:val="no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auto"/>
          <w:spacing w:val="0"/>
          <w:sz w:val="28"/>
          <w:szCs w:val="28"/>
          <w:highlight w:val="none"/>
          <w:u w:val="none"/>
          <w:shd w:val="clear" w:fill="FFFFFF"/>
          <w:vertAlign w:val="baseline"/>
          <w:lang w:eastAsia="zh-CN"/>
        </w:rPr>
      </w:pPr>
    </w:p>
    <w:p>
      <w:pPr>
        <w:tabs>
          <w:tab w:val="left" w:pos="1080"/>
        </w:tabs>
        <w:spacing w:line="360" w:lineRule="exact"/>
        <w:jc w:val="center"/>
        <w:rPr>
          <w:rFonts w:hint="eastAsia" w:ascii="宋体" w:hAnsi="宋体" w:eastAsiaTheme="minorEastAsia"/>
          <w:b/>
          <w:color w:val="auto"/>
          <w:sz w:val="24"/>
          <w:highlight w:val="none"/>
          <w:lang w:eastAsia="zh-CN"/>
        </w:rPr>
      </w:pPr>
      <w:r>
        <w:rPr>
          <w:rFonts w:hint="eastAsia" w:ascii="宋体" w:hAnsi="宋体"/>
          <w:b/>
          <w:color w:val="auto"/>
          <w:sz w:val="24"/>
          <w:highlight w:val="none"/>
        </w:rPr>
        <w:t>评标办法</w:t>
      </w:r>
      <w:r>
        <w:rPr>
          <w:rFonts w:hint="eastAsia" w:ascii="宋体" w:hAnsi="宋体"/>
          <w:b/>
          <w:color w:val="auto"/>
          <w:sz w:val="24"/>
          <w:highlight w:val="none"/>
          <w:lang w:eastAsia="zh-CN"/>
        </w:rPr>
        <w:t>表</w:t>
      </w:r>
    </w:p>
    <w:tbl>
      <w:tblPr>
        <w:tblStyle w:val="20"/>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42"/>
              <w:jc w:val="center"/>
              <w:rPr>
                <w:rFonts w:hint="eastAsia" w:ascii="宋体" w:hAnsi="宋体"/>
                <w:b/>
                <w:color w:val="auto"/>
                <w:highlight w:val="none"/>
              </w:rPr>
            </w:pPr>
            <w:r>
              <w:rPr>
                <w:rFonts w:hint="eastAsia" w:ascii="宋体" w:hAnsi="宋体" w:eastAsia="宋体" w:cs="宋体"/>
                <w:b/>
                <w:color w:val="auto"/>
                <w:sz w:val="21"/>
                <w:highlight w:val="none"/>
              </w:rPr>
              <w:t>条款号</w:t>
            </w:r>
          </w:p>
        </w:tc>
        <w:tc>
          <w:tcPr>
            <w:tcW w:w="1209" w:type="dxa"/>
            <w:vAlign w:val="center"/>
          </w:tcPr>
          <w:p>
            <w:pPr>
              <w:pStyle w:val="42"/>
              <w:jc w:val="center"/>
              <w:rPr>
                <w:rFonts w:hint="eastAsia" w:ascii="宋体" w:hAnsi="宋体"/>
                <w:b/>
                <w:color w:val="auto"/>
                <w:highlight w:val="none"/>
              </w:rPr>
            </w:pPr>
            <w:r>
              <w:rPr>
                <w:rFonts w:ascii="宋体" w:hAnsi="宋体" w:eastAsia="宋体" w:cs="宋体"/>
                <w:b/>
                <w:color w:val="auto"/>
                <w:sz w:val="21"/>
                <w:highlight w:val="none"/>
              </w:rPr>
              <w:t>评审因素</w:t>
            </w:r>
          </w:p>
        </w:tc>
        <w:tc>
          <w:tcPr>
            <w:tcW w:w="6147" w:type="dxa"/>
            <w:gridSpan w:val="2"/>
            <w:vAlign w:val="center"/>
          </w:tcPr>
          <w:p>
            <w:pPr>
              <w:pStyle w:val="2"/>
              <w:ind w:firstLine="812"/>
              <w:jc w:val="center"/>
              <w:rPr>
                <w:rFonts w:hint="eastAsia" w:ascii="宋体" w:hAnsi="宋体"/>
                <w:b/>
                <w:color w:val="auto"/>
                <w:highlight w:val="none"/>
                <w:lang w:val="en-US" w:eastAsia="zh-CN"/>
              </w:rPr>
            </w:pPr>
            <w:r>
              <w:rPr>
                <w:rFonts w:ascii="宋体" w:hAnsi="宋体" w:eastAsia="宋体" w:cs="宋体"/>
                <w:b/>
                <w:color w:val="auto"/>
                <w:sz w:val="21"/>
                <w:szCs w:val="24"/>
                <w:highlight w:val="no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
              <w:ind w:left="0" w:leftChars="0" w:firstLine="0" w:firstLineChars="0"/>
              <w:jc w:val="center"/>
              <w:rPr>
                <w:rFonts w:ascii="宋体" w:hAnsi="宋体" w:eastAsia="宋体" w:cs="宋体"/>
                <w:bCs w:val="0"/>
                <w:color w:val="auto"/>
                <w:sz w:val="21"/>
                <w:szCs w:val="24"/>
                <w:highlight w:val="none"/>
                <w:lang w:val="en-US" w:eastAsia="zh-CN"/>
              </w:rPr>
            </w:pPr>
            <w:r>
              <w:rPr>
                <w:rFonts w:hint="eastAsia" w:ascii="宋体" w:hAnsi="宋体" w:eastAsia="宋体" w:cs="宋体"/>
                <w:bCs w:val="0"/>
                <w:color w:val="auto"/>
                <w:sz w:val="21"/>
                <w:szCs w:val="24"/>
                <w:highlight w:val="none"/>
                <w:lang w:val="en-US" w:eastAsia="zh-CN"/>
              </w:rPr>
              <w:t>2.1.1</w:t>
            </w:r>
          </w:p>
        </w:tc>
        <w:tc>
          <w:tcPr>
            <w:tcW w:w="1209" w:type="dxa"/>
            <w:vMerge w:val="restart"/>
            <w:vAlign w:val="center"/>
          </w:tcPr>
          <w:p>
            <w:pPr>
              <w:pStyle w:val="2"/>
              <w:ind w:left="0" w:leftChars="0" w:firstLine="0" w:firstLineChars="0"/>
              <w:jc w:val="both"/>
              <w:rPr>
                <w:rFonts w:hint="eastAsia" w:ascii="宋体" w:hAnsi="宋体"/>
                <w:b/>
                <w:color w:val="auto"/>
                <w:highlight w:val="none"/>
                <w:lang w:val="en-US" w:eastAsia="zh-CN"/>
              </w:rPr>
            </w:pPr>
            <w:r>
              <w:rPr>
                <w:rFonts w:ascii="宋体" w:hAnsi="宋体" w:eastAsia="宋体" w:cs="宋体"/>
                <w:color w:val="auto"/>
                <w:sz w:val="21"/>
                <w:szCs w:val="24"/>
                <w:highlight w:val="none"/>
                <w:lang w:val="en-US" w:eastAsia="zh-CN"/>
              </w:rPr>
              <w:t>资格评审标准</w:t>
            </w:r>
          </w:p>
        </w:tc>
        <w:tc>
          <w:tcPr>
            <w:tcW w:w="1444" w:type="dxa"/>
            <w:vAlign w:val="center"/>
          </w:tcPr>
          <w:p>
            <w:pPr>
              <w:pStyle w:val="42"/>
              <w:jc w:val="center"/>
              <w:rPr>
                <w:rFonts w:hint="eastAsia" w:ascii="宋体" w:hAnsi="宋体"/>
                <w:b/>
                <w:color w:val="auto"/>
                <w:highlight w:val="none"/>
              </w:rPr>
            </w:pPr>
            <w:r>
              <w:rPr>
                <w:rFonts w:ascii="宋体" w:hAnsi="宋体" w:eastAsia="宋体" w:cs="宋体"/>
                <w:color w:val="auto"/>
                <w:sz w:val="21"/>
                <w:highlight w:val="none"/>
              </w:rPr>
              <w:t>营业执照</w:t>
            </w:r>
          </w:p>
        </w:tc>
        <w:tc>
          <w:tcPr>
            <w:tcW w:w="4703" w:type="dxa"/>
            <w:vAlign w:val="center"/>
          </w:tcPr>
          <w:p>
            <w:pPr>
              <w:pStyle w:val="42"/>
              <w:rPr>
                <w:rFonts w:hint="eastAsia" w:ascii="宋体" w:hAnsi="宋体"/>
                <w:b/>
                <w:color w:val="auto"/>
                <w:highlight w:val="none"/>
              </w:rPr>
            </w:pPr>
            <w:r>
              <w:rPr>
                <w:rFonts w:ascii="宋体" w:hAnsi="宋体" w:eastAsia="宋体" w:cs="宋体"/>
                <w:color w:val="auto"/>
                <w:sz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center"/>
          </w:tcPr>
          <w:p>
            <w:pPr>
              <w:pStyle w:val="2"/>
              <w:ind w:firstLine="918"/>
              <w:jc w:val="center"/>
              <w:rPr>
                <w:rFonts w:hint="eastAsia" w:ascii="宋体" w:hAnsi="宋体"/>
                <w:b/>
                <w:color w:val="auto"/>
                <w:highlight w:val="none"/>
                <w:lang w:val="en-US" w:eastAsia="zh-CN"/>
              </w:rPr>
            </w:pPr>
          </w:p>
        </w:tc>
        <w:tc>
          <w:tcPr>
            <w:tcW w:w="1444" w:type="dxa"/>
            <w:vAlign w:val="center"/>
          </w:tcPr>
          <w:p>
            <w:pPr>
              <w:pStyle w:val="42"/>
              <w:jc w:val="center"/>
              <w:rPr>
                <w:rFonts w:hint="eastAsia" w:ascii="宋体" w:hAnsi="宋体"/>
                <w:b/>
                <w:color w:val="auto"/>
                <w:highlight w:val="none"/>
              </w:rPr>
            </w:pPr>
            <w:r>
              <w:rPr>
                <w:rFonts w:ascii="宋体" w:hAnsi="宋体" w:eastAsia="宋体" w:cs="宋体"/>
                <w:color w:val="auto"/>
                <w:sz w:val="21"/>
                <w:highlight w:val="none"/>
              </w:rPr>
              <w:t>安全生产许可证</w:t>
            </w:r>
          </w:p>
        </w:tc>
        <w:tc>
          <w:tcPr>
            <w:tcW w:w="4703" w:type="dxa"/>
            <w:vAlign w:val="center"/>
          </w:tcPr>
          <w:p>
            <w:pPr>
              <w:pStyle w:val="42"/>
              <w:rPr>
                <w:rFonts w:hint="eastAsia" w:ascii="宋体" w:hAnsi="宋体"/>
                <w:b/>
                <w:color w:val="auto"/>
                <w:highlight w:val="none"/>
              </w:rPr>
            </w:pPr>
            <w:r>
              <w:rPr>
                <w:rFonts w:ascii="宋体" w:hAnsi="宋体" w:eastAsia="宋体" w:cs="宋体"/>
                <w:color w:val="auto"/>
                <w:sz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center"/>
          </w:tcPr>
          <w:p>
            <w:pPr>
              <w:pStyle w:val="2"/>
              <w:ind w:firstLine="918"/>
              <w:jc w:val="center"/>
              <w:rPr>
                <w:rFonts w:hint="eastAsia" w:ascii="宋体" w:hAnsi="宋体"/>
                <w:b/>
                <w:color w:val="auto"/>
                <w:highlight w:val="none"/>
                <w:lang w:val="en-US" w:eastAsia="zh-CN"/>
              </w:rPr>
            </w:pPr>
          </w:p>
        </w:tc>
        <w:tc>
          <w:tcPr>
            <w:tcW w:w="1444" w:type="dxa"/>
            <w:vAlign w:val="center"/>
          </w:tcPr>
          <w:p>
            <w:pPr>
              <w:pStyle w:val="42"/>
              <w:jc w:val="center"/>
              <w:rPr>
                <w:rFonts w:ascii="宋体" w:hAnsi="宋体" w:eastAsia="宋体" w:cs="宋体"/>
                <w:color w:val="auto"/>
                <w:sz w:val="21"/>
                <w:highlight w:val="none"/>
              </w:rPr>
            </w:pPr>
            <w:r>
              <w:rPr>
                <w:rFonts w:ascii="宋体" w:hAnsi="宋体" w:eastAsia="宋体" w:cs="宋体"/>
                <w:color w:val="auto"/>
                <w:sz w:val="21"/>
                <w:highlight w:val="none"/>
              </w:rPr>
              <w:t>资质等级</w:t>
            </w:r>
          </w:p>
        </w:tc>
        <w:tc>
          <w:tcPr>
            <w:tcW w:w="4703" w:type="dxa"/>
            <w:vAlign w:val="center"/>
          </w:tcPr>
          <w:p>
            <w:pPr>
              <w:pStyle w:val="42"/>
              <w:rPr>
                <w:rFonts w:ascii="宋体" w:hAnsi="宋体" w:eastAsia="宋体" w:cs="宋体"/>
                <w:color w:val="auto"/>
                <w:sz w:val="21"/>
                <w:highlight w:val="none"/>
              </w:rPr>
            </w:pPr>
            <w:r>
              <w:rPr>
                <w:rFonts w:hint="eastAsia" w:ascii="宋体" w:hAnsi="宋体" w:eastAsia="宋体" w:cs="宋体"/>
                <w:color w:val="auto"/>
                <w:sz w:val="21"/>
                <w:highlight w:val="none"/>
              </w:rPr>
              <w:t>具备市政公用工程施工总承包叁级及以上级资质（含叁级），并在人员、设备、资金等方面具备相应的施工能力</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center"/>
          </w:tcPr>
          <w:p>
            <w:pPr>
              <w:pStyle w:val="2"/>
              <w:ind w:firstLine="918"/>
              <w:jc w:val="center"/>
              <w:rPr>
                <w:rFonts w:hint="eastAsia" w:ascii="宋体" w:hAnsi="宋体"/>
                <w:b/>
                <w:color w:val="auto"/>
                <w:highlight w:val="none"/>
                <w:lang w:val="en-US" w:eastAsia="zh-CN"/>
              </w:rPr>
            </w:pPr>
          </w:p>
        </w:tc>
        <w:tc>
          <w:tcPr>
            <w:tcW w:w="1444" w:type="dxa"/>
            <w:vAlign w:val="center"/>
          </w:tcPr>
          <w:p>
            <w:pPr>
              <w:pStyle w:val="42"/>
              <w:jc w:val="center"/>
              <w:rPr>
                <w:rFonts w:ascii="宋体" w:hAnsi="宋体" w:eastAsia="宋体" w:cs="宋体"/>
                <w:color w:val="auto"/>
                <w:sz w:val="21"/>
                <w:highlight w:val="none"/>
              </w:rPr>
            </w:pPr>
            <w:r>
              <w:rPr>
                <w:rFonts w:hint="eastAsia" w:ascii="宋体" w:hAnsi="宋体" w:eastAsia="宋体" w:cs="宋体"/>
                <w:color w:val="auto"/>
                <w:sz w:val="21"/>
                <w:highlight w:val="none"/>
              </w:rPr>
              <w:t>法定代表人身份证明及授权</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center"/>
          </w:tcPr>
          <w:p>
            <w:pPr>
              <w:pStyle w:val="2"/>
              <w:ind w:firstLine="918"/>
              <w:jc w:val="center"/>
              <w:rPr>
                <w:rFonts w:hint="eastAsia" w:ascii="宋体" w:hAnsi="宋体"/>
                <w:b/>
                <w:color w:val="auto"/>
                <w:highlight w:val="none"/>
                <w:lang w:val="en-US" w:eastAsia="zh-CN"/>
              </w:rPr>
            </w:pPr>
          </w:p>
        </w:tc>
        <w:tc>
          <w:tcPr>
            <w:tcW w:w="1444" w:type="dxa"/>
            <w:vAlign w:val="center"/>
          </w:tcPr>
          <w:p>
            <w:pPr>
              <w:pStyle w:val="42"/>
              <w:jc w:val="center"/>
              <w:rPr>
                <w:rFonts w:ascii="宋体" w:hAnsi="宋体" w:eastAsia="宋体" w:cs="宋体"/>
                <w:color w:val="auto"/>
                <w:sz w:val="21"/>
                <w:highlight w:val="none"/>
              </w:rPr>
            </w:pPr>
            <w:r>
              <w:rPr>
                <w:rFonts w:ascii="宋体" w:hAnsi="宋体" w:eastAsia="宋体" w:cs="宋体"/>
                <w:color w:val="auto"/>
                <w:sz w:val="21"/>
                <w:highlight w:val="none"/>
              </w:rPr>
              <w:t>诚信</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rPr>
              <w:t>未被“信用中国”（www.creditchina.gov.cn）、中国政府采购网（www.ccgp.gov.cn）列入失信被执行人、重大税收违法案件当事人名单、政府采购严重违法失信行为记录名单。</w:t>
            </w:r>
          </w:p>
          <w:p>
            <w:pPr>
              <w:pStyle w:val="42"/>
              <w:rPr>
                <w:rFonts w:ascii="宋体" w:hAnsi="宋体" w:eastAsia="宋体" w:cs="宋体"/>
                <w:color w:val="auto"/>
                <w:sz w:val="21"/>
                <w:highlight w:val="none"/>
              </w:rPr>
            </w:pPr>
            <w:r>
              <w:rPr>
                <w:rFonts w:hint="eastAsia" w:ascii="宋体" w:hAnsi="宋体" w:eastAsia="宋体" w:cs="宋体"/>
                <w:b/>
                <w:bCs/>
                <w:color w:val="auto"/>
                <w:sz w:val="21"/>
                <w:highlight w:val="none"/>
              </w:rPr>
              <w:t>[供应商参加政府采购活动前三年内在经营活动中没有重大违法记录或不良信用记录的书面声明</w:t>
            </w:r>
            <w:r>
              <w:rPr>
                <w:rFonts w:hint="eastAsia" w:ascii="宋体" w:hAnsi="宋体" w:eastAsia="宋体" w:cs="宋体"/>
                <w:color w:val="auto"/>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center"/>
          </w:tcPr>
          <w:p>
            <w:pPr>
              <w:pStyle w:val="2"/>
              <w:ind w:firstLine="918"/>
              <w:jc w:val="center"/>
              <w:rPr>
                <w:rFonts w:hint="eastAsia" w:ascii="宋体" w:hAnsi="宋体"/>
                <w:b/>
                <w:color w:val="auto"/>
                <w:highlight w:val="none"/>
                <w:lang w:val="en-US" w:eastAsia="zh-CN"/>
              </w:rPr>
            </w:pPr>
          </w:p>
        </w:tc>
        <w:tc>
          <w:tcPr>
            <w:tcW w:w="1444" w:type="dxa"/>
            <w:vAlign w:val="center"/>
          </w:tcPr>
          <w:p>
            <w:pPr>
              <w:pStyle w:val="42"/>
              <w:jc w:val="center"/>
              <w:rPr>
                <w:rFonts w:ascii="宋体" w:hAnsi="宋体" w:eastAsia="宋体" w:cs="宋体"/>
                <w:color w:val="auto"/>
                <w:sz w:val="21"/>
                <w:highlight w:val="none"/>
              </w:rPr>
            </w:pPr>
            <w:r>
              <w:rPr>
                <w:rFonts w:ascii="宋体" w:hAnsi="宋体" w:eastAsia="宋体" w:cs="宋体"/>
                <w:color w:val="auto"/>
                <w:sz w:val="21"/>
                <w:highlight w:val="none"/>
              </w:rPr>
              <w:t>项目经理</w:t>
            </w:r>
          </w:p>
        </w:tc>
        <w:tc>
          <w:tcPr>
            <w:tcW w:w="4703" w:type="dxa"/>
            <w:vAlign w:val="center"/>
          </w:tcPr>
          <w:p>
            <w:pPr>
              <w:pStyle w:val="42"/>
              <w:rPr>
                <w:rFonts w:ascii="宋体" w:hAnsi="宋体" w:eastAsia="宋体" w:cs="宋体"/>
                <w:color w:val="auto"/>
                <w:sz w:val="21"/>
                <w:highlight w:val="none"/>
              </w:rPr>
            </w:pPr>
            <w:r>
              <w:rPr>
                <w:rFonts w:hint="eastAsia" w:ascii="宋体" w:hAnsi="宋体" w:eastAsia="宋体" w:cs="宋体"/>
                <w:color w:val="auto"/>
                <w:sz w:val="21"/>
                <w:highlight w:val="none"/>
              </w:rPr>
              <w:t>具备市政工程专业贰级及以上注册建造师执业资格，本项目不接受有在建、已中标未开工或已列为其他项目中标候选人第一名的建造师作为项目经理。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
              <w:ind w:left="0" w:leftChars="0" w:firstLine="0" w:firstLineChars="0"/>
              <w:jc w:val="center"/>
              <w:rPr>
                <w:rFonts w:ascii="宋体" w:hAnsi="宋体" w:eastAsia="宋体" w:cs="宋体"/>
                <w:bCs w:val="0"/>
                <w:color w:val="auto"/>
                <w:sz w:val="21"/>
                <w:szCs w:val="24"/>
                <w:highlight w:val="none"/>
                <w:lang w:val="en-US" w:eastAsia="zh-CN"/>
              </w:rPr>
            </w:pPr>
            <w:r>
              <w:rPr>
                <w:rFonts w:hint="eastAsia" w:ascii="宋体" w:hAnsi="宋体" w:eastAsia="宋体" w:cs="宋体"/>
                <w:bCs w:val="0"/>
                <w:color w:val="auto"/>
                <w:sz w:val="21"/>
                <w:szCs w:val="24"/>
                <w:highlight w:val="none"/>
                <w:lang w:val="en-US" w:eastAsia="zh-CN"/>
              </w:rPr>
              <w:t>2.1.2</w:t>
            </w:r>
          </w:p>
        </w:tc>
        <w:tc>
          <w:tcPr>
            <w:tcW w:w="1209" w:type="dxa"/>
            <w:vMerge w:val="restart"/>
            <w:vAlign w:val="center"/>
          </w:tcPr>
          <w:p>
            <w:pPr>
              <w:pStyle w:val="2"/>
              <w:ind w:left="0" w:leftChars="0" w:firstLine="0" w:firstLineChars="0"/>
              <w:jc w:val="both"/>
              <w:rPr>
                <w:rFonts w:hint="eastAsia" w:ascii="宋体" w:hAnsi="宋体"/>
                <w:b/>
                <w:color w:val="auto"/>
                <w:highlight w:val="none"/>
                <w:lang w:val="en-US" w:eastAsia="zh-CN"/>
              </w:rPr>
            </w:pPr>
            <w:r>
              <w:rPr>
                <w:rFonts w:ascii="宋体" w:hAnsi="宋体" w:eastAsia="宋体" w:cs="宋体"/>
                <w:color w:val="auto"/>
                <w:sz w:val="21"/>
                <w:szCs w:val="24"/>
                <w:highlight w:val="none"/>
                <w:lang w:val="en-US" w:eastAsia="zh-CN"/>
              </w:rPr>
              <w:t>形式评审标准</w:t>
            </w:r>
          </w:p>
        </w:tc>
        <w:tc>
          <w:tcPr>
            <w:tcW w:w="1444" w:type="dxa"/>
            <w:vAlign w:val="center"/>
          </w:tcPr>
          <w:p>
            <w:pPr>
              <w:pStyle w:val="42"/>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w:t>
            </w:r>
            <w:r>
              <w:rPr>
                <w:rFonts w:ascii="宋体" w:hAnsi="宋体" w:eastAsia="宋体" w:cs="宋体"/>
                <w:color w:val="auto"/>
                <w:sz w:val="21"/>
                <w:highlight w:val="none"/>
              </w:rPr>
              <w:t>名称</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磋商</w:t>
            </w:r>
            <w:r>
              <w:rPr>
                <w:rFonts w:ascii="宋体" w:hAnsi="宋体" w:eastAsia="宋体" w:cs="宋体"/>
                <w:color w:val="auto"/>
                <w:sz w:val="21"/>
                <w:highlight w:val="none"/>
              </w:rPr>
              <w:t>函签字盖章</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r>
              <w:rPr>
                <w:rFonts w:hint="eastAsia" w:ascii="宋体" w:hAnsi="宋体" w:eastAsia="宋体" w:cs="宋体"/>
                <w:color w:val="auto"/>
                <w:sz w:val="21"/>
                <w:highlight w:val="none"/>
                <w:lang w:val="en-US" w:eastAsia="zh-CN"/>
              </w:rPr>
              <w:t>签字、或委托代理人签字</w:t>
            </w:r>
            <w:r>
              <w:rPr>
                <w:rFonts w:hint="eastAsia" w:ascii="宋体" w:hAnsi="宋体" w:eastAsia="宋体" w:cs="宋体"/>
                <w:color w:val="auto"/>
                <w:sz w:val="21"/>
                <w:highlight w:val="none"/>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810"/>
              <w:jc w:val="center"/>
              <w:rPr>
                <w:rFonts w:hint="eastAsia" w:ascii="宋体" w:hAnsi="宋体" w:eastAsia="宋体" w:cs="宋体"/>
                <w:bCs w:val="0"/>
                <w:color w:val="auto"/>
                <w:sz w:val="21"/>
                <w:szCs w:val="24"/>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报价唯一</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
              <w:ind w:left="0" w:leftChars="0" w:firstLine="0" w:firstLineChars="0"/>
              <w:jc w:val="center"/>
              <w:rPr>
                <w:rFonts w:ascii="宋体" w:hAnsi="宋体" w:eastAsia="宋体" w:cs="宋体"/>
                <w:bCs w:val="0"/>
                <w:color w:val="auto"/>
                <w:sz w:val="21"/>
                <w:szCs w:val="24"/>
                <w:highlight w:val="none"/>
                <w:lang w:val="en-US" w:eastAsia="zh-CN"/>
              </w:rPr>
            </w:pPr>
            <w:r>
              <w:rPr>
                <w:rFonts w:hint="eastAsia" w:ascii="宋体" w:hAnsi="宋体" w:eastAsia="宋体" w:cs="宋体"/>
                <w:bCs w:val="0"/>
                <w:color w:val="auto"/>
                <w:sz w:val="21"/>
                <w:szCs w:val="24"/>
                <w:highlight w:val="none"/>
                <w:lang w:val="en-US" w:eastAsia="zh-CN"/>
              </w:rPr>
              <w:t>2.1.3</w:t>
            </w:r>
          </w:p>
        </w:tc>
        <w:tc>
          <w:tcPr>
            <w:tcW w:w="1209" w:type="dxa"/>
            <w:vMerge w:val="restart"/>
            <w:vAlign w:val="center"/>
          </w:tcPr>
          <w:p>
            <w:pPr>
              <w:pStyle w:val="2"/>
              <w:ind w:left="0" w:leftChars="0" w:firstLine="0" w:firstLineChars="0"/>
              <w:jc w:val="both"/>
              <w:rPr>
                <w:rFonts w:ascii="宋体" w:hAnsi="宋体" w:eastAsia="宋体" w:cs="宋体"/>
                <w:bCs w:val="0"/>
                <w:color w:val="auto"/>
                <w:sz w:val="21"/>
                <w:szCs w:val="24"/>
                <w:highlight w:val="none"/>
                <w:lang w:val="en-US" w:eastAsia="zh-CN"/>
              </w:rPr>
            </w:pPr>
            <w:r>
              <w:rPr>
                <w:rFonts w:ascii="宋体" w:hAnsi="宋体" w:eastAsia="宋体" w:cs="宋体"/>
                <w:bCs w:val="0"/>
                <w:color w:val="auto"/>
                <w:sz w:val="21"/>
                <w:szCs w:val="24"/>
                <w:highlight w:val="none"/>
                <w:lang w:val="en-US" w:eastAsia="zh-CN"/>
              </w:rPr>
              <w:t>响应性评审标准</w:t>
            </w: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投标内容</w:t>
            </w:r>
          </w:p>
        </w:tc>
        <w:tc>
          <w:tcPr>
            <w:tcW w:w="4703" w:type="dxa"/>
            <w:vAlign w:val="center"/>
          </w:tcPr>
          <w:p>
            <w:pPr>
              <w:pStyle w:val="42"/>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工期</w:t>
            </w:r>
          </w:p>
        </w:tc>
        <w:tc>
          <w:tcPr>
            <w:tcW w:w="4703" w:type="dxa"/>
            <w:vAlign w:val="center"/>
          </w:tcPr>
          <w:p>
            <w:pPr>
              <w:pStyle w:val="42"/>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工程质量</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rPr>
              <w:t>符合</w:t>
            </w:r>
            <w:r>
              <w:rPr>
                <w:rFonts w:hint="eastAsia" w:ascii="宋体" w:hAnsi="宋体" w:eastAsia="宋体" w:cs="宋体"/>
                <w:color w:val="auto"/>
                <w:sz w:val="21"/>
                <w:highlight w:val="none"/>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投标有效期</w:t>
            </w:r>
          </w:p>
        </w:tc>
        <w:tc>
          <w:tcPr>
            <w:tcW w:w="4703" w:type="dxa"/>
            <w:vAlign w:val="center"/>
          </w:tcPr>
          <w:p>
            <w:pPr>
              <w:pStyle w:val="42"/>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权利义务</w:t>
            </w:r>
          </w:p>
        </w:tc>
        <w:tc>
          <w:tcPr>
            <w:tcW w:w="4703" w:type="dxa"/>
            <w:vAlign w:val="center"/>
          </w:tcPr>
          <w:p>
            <w:pPr>
              <w:pStyle w:val="42"/>
              <w:rPr>
                <w:rFonts w:hint="eastAsia" w:ascii="宋体" w:hAnsi="宋体" w:eastAsia="宋体" w:cs="宋体"/>
                <w:color w:val="auto"/>
                <w:sz w:val="21"/>
                <w:highlight w:val="none"/>
              </w:rPr>
            </w:pPr>
            <w:r>
              <w:rPr>
                <w:rFonts w:ascii="宋体" w:hAnsi="宋体" w:eastAsia="宋体" w:cs="宋体"/>
                <w:color w:val="auto"/>
                <w:sz w:val="21"/>
                <w:highlight w:val="none"/>
              </w:rPr>
              <w:t>投标函附录中的相关承诺符合或优于第</w:t>
            </w:r>
            <w:r>
              <w:rPr>
                <w:rFonts w:hint="eastAsia" w:ascii="宋体" w:hAnsi="宋体" w:eastAsia="宋体" w:cs="宋体"/>
                <w:color w:val="auto"/>
                <w:sz w:val="21"/>
                <w:highlight w:val="none"/>
                <w:lang w:eastAsia="zh-CN"/>
              </w:rPr>
              <w:t>七</w:t>
            </w:r>
            <w:r>
              <w:rPr>
                <w:rFonts w:ascii="宋体" w:hAnsi="宋体" w:eastAsia="宋体" w:cs="宋体"/>
                <w:color w:val="auto"/>
                <w:sz w:val="21"/>
                <w:highlight w:val="none"/>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投标价格</w:t>
            </w:r>
          </w:p>
        </w:tc>
        <w:tc>
          <w:tcPr>
            <w:tcW w:w="4703" w:type="dxa"/>
            <w:vAlign w:val="center"/>
          </w:tcPr>
          <w:p>
            <w:pPr>
              <w:pStyle w:val="42"/>
              <w:rPr>
                <w:rFonts w:hint="eastAsia" w:ascii="宋体" w:hAnsi="宋体" w:eastAsia="宋体" w:cs="宋体"/>
                <w:color w:val="auto"/>
                <w:sz w:val="21"/>
                <w:highlight w:val="none"/>
              </w:rPr>
            </w:pPr>
            <w:r>
              <w:rPr>
                <w:rFonts w:ascii="宋体" w:hAnsi="宋体" w:eastAsia="宋体" w:cs="宋体"/>
                <w:color w:val="auto"/>
                <w:sz w:val="21"/>
                <w:highlight w:val="none"/>
              </w:rPr>
              <w:t>低于（含等于）招标人公布的招标控制价且无否决投标条件的相应情况。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已标价工程量清单</w:t>
            </w:r>
          </w:p>
        </w:tc>
        <w:tc>
          <w:tcPr>
            <w:tcW w:w="4703" w:type="dxa"/>
            <w:vAlign w:val="center"/>
          </w:tcPr>
          <w:p>
            <w:pPr>
              <w:pStyle w:val="42"/>
              <w:rPr>
                <w:rFonts w:hint="eastAsia" w:ascii="宋体" w:hAnsi="宋体" w:eastAsia="宋体" w:cs="宋体"/>
                <w:color w:val="auto"/>
                <w:sz w:val="21"/>
                <w:highlight w:val="none"/>
              </w:rPr>
            </w:pPr>
            <w:r>
              <w:rPr>
                <w:rFonts w:ascii="宋体" w:hAnsi="宋体" w:eastAsia="宋体" w:cs="宋体"/>
                <w:color w:val="auto"/>
                <w:sz w:val="21"/>
                <w:highlight w:val="none"/>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2"/>
              <w:rPr>
                <w:rFonts w:ascii="宋体" w:hAnsi="宋体" w:eastAsia="宋体" w:cs="宋体"/>
                <w:color w:val="auto"/>
                <w:spacing w:val="89"/>
                <w:sz w:val="21"/>
                <w:highlight w:val="none"/>
              </w:rPr>
            </w:pPr>
            <w:r>
              <w:rPr>
                <w:rFonts w:ascii="宋体" w:hAnsi="宋体" w:eastAsia="宋体" w:cs="宋体"/>
                <w:b/>
                <w:color w:val="auto"/>
                <w:sz w:val="21"/>
                <w:highlight w:val="none"/>
              </w:rPr>
              <w:t>合格标准：</w:t>
            </w:r>
            <w:r>
              <w:rPr>
                <w:rFonts w:hint="eastAsia" w:ascii="宋体" w:hAnsi="宋体" w:eastAsia="宋体" w:cs="宋体"/>
                <w:b/>
                <w:color w:val="auto"/>
                <w:sz w:val="21"/>
                <w:highlight w:val="none"/>
              </w:rPr>
              <w:t>以上</w:t>
            </w:r>
            <w:r>
              <w:rPr>
                <w:rFonts w:ascii="宋体" w:hAnsi="宋体" w:eastAsia="宋体" w:cs="宋体"/>
                <w:b/>
                <w:color w:val="auto"/>
                <w:sz w:val="21"/>
                <w:highlight w:val="none"/>
              </w:rPr>
              <w:t>缺少任何一项或有任何一项不合格者，其评审</w:t>
            </w:r>
            <w:r>
              <w:rPr>
                <w:rFonts w:hint="eastAsia" w:ascii="宋体" w:hAnsi="宋体" w:eastAsia="宋体" w:cs="宋体"/>
                <w:b/>
                <w:color w:val="auto"/>
                <w:sz w:val="21"/>
                <w:highlight w:val="none"/>
              </w:rPr>
              <w:t>结果</w:t>
            </w:r>
            <w:r>
              <w:rPr>
                <w:rFonts w:ascii="宋体" w:hAnsi="宋体" w:eastAsia="宋体" w:cs="宋体"/>
                <w:b/>
                <w:color w:val="auto"/>
                <w:sz w:val="21"/>
                <w:highlight w:val="none"/>
              </w:rPr>
              <w:t>视为不合格</w:t>
            </w:r>
            <w:r>
              <w:rPr>
                <w:rFonts w:hint="eastAsia" w:ascii="宋体" w:hAnsi="宋体" w:eastAsia="宋体" w:cs="宋体"/>
                <w:b/>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pStyle w:val="42"/>
              <w:jc w:val="center"/>
              <w:rPr>
                <w:rFonts w:hint="eastAsia" w:ascii="宋体" w:hAnsi="宋体" w:eastAsia="宋体" w:cs="宋体"/>
                <w:color w:val="auto"/>
                <w:sz w:val="21"/>
                <w:highlight w:val="none"/>
              </w:rPr>
            </w:pPr>
            <w:r>
              <w:rPr>
                <w:rFonts w:ascii="宋体" w:hAnsi="宋体" w:eastAsia="宋体" w:cs="宋体"/>
                <w:color w:val="auto"/>
                <w:sz w:val="21"/>
                <w:highlight w:val="none"/>
              </w:rPr>
              <w:t>2.</w:t>
            </w:r>
            <w:r>
              <w:rPr>
                <w:rFonts w:hint="eastAsia" w:ascii="宋体" w:hAnsi="宋体" w:eastAsia="宋体" w:cs="宋体"/>
                <w:color w:val="auto"/>
                <w:sz w:val="21"/>
                <w:highlight w:val="none"/>
              </w:rPr>
              <w:t>2</w:t>
            </w:r>
          </w:p>
        </w:tc>
        <w:tc>
          <w:tcPr>
            <w:tcW w:w="1209" w:type="dxa"/>
            <w:vAlign w:val="center"/>
          </w:tcPr>
          <w:p>
            <w:pPr>
              <w:pStyle w:val="42"/>
              <w:jc w:val="center"/>
              <w:rPr>
                <w:rFonts w:ascii="宋体" w:hAnsi="宋体" w:eastAsia="宋体" w:cs="宋体"/>
                <w:color w:val="auto"/>
                <w:sz w:val="21"/>
                <w:highlight w:val="none"/>
              </w:rPr>
            </w:pPr>
            <w:r>
              <w:rPr>
                <w:rFonts w:ascii="宋体" w:hAnsi="宋体" w:eastAsia="宋体" w:cs="宋体"/>
                <w:color w:val="auto"/>
                <w:sz w:val="21"/>
                <w:highlight w:val="none"/>
              </w:rPr>
              <w:t>详细评审</w:t>
            </w:r>
          </w:p>
        </w:tc>
        <w:tc>
          <w:tcPr>
            <w:tcW w:w="6147" w:type="dxa"/>
            <w:gridSpan w:val="2"/>
            <w:vAlign w:val="center"/>
          </w:tcPr>
          <w:p>
            <w:pPr>
              <w:pStyle w:val="42"/>
              <w:rPr>
                <w:rFonts w:ascii="宋体" w:hAnsi="宋体" w:eastAsia="宋体" w:cs="宋体"/>
                <w:b/>
                <w:color w:val="auto"/>
                <w:sz w:val="21"/>
                <w:highlight w:val="none"/>
              </w:rPr>
            </w:pPr>
            <w:r>
              <w:rPr>
                <w:rFonts w:ascii="宋体" w:hAnsi="宋体" w:eastAsia="宋体" w:cs="宋体"/>
                <w:b/>
                <w:color w:val="auto"/>
                <w:sz w:val="21"/>
                <w:highlight w:val="none"/>
              </w:rPr>
              <w:t>通过资格审查的合格</w:t>
            </w:r>
            <w:r>
              <w:rPr>
                <w:rFonts w:hint="eastAsia" w:ascii="宋体" w:hAnsi="宋体" w:eastAsia="宋体" w:cs="宋体"/>
                <w:b/>
                <w:color w:val="auto"/>
                <w:sz w:val="21"/>
                <w:highlight w:val="none"/>
              </w:rPr>
              <w:t>供应商</w:t>
            </w:r>
            <w:r>
              <w:rPr>
                <w:rFonts w:ascii="宋体" w:hAnsi="宋体" w:eastAsia="宋体" w:cs="宋体"/>
                <w:b/>
                <w:color w:val="auto"/>
                <w:sz w:val="21"/>
                <w:highlight w:val="none"/>
              </w:rPr>
              <w:t>，只有通过了形式评审和响应性评审，才能进入详细评审程序。</w:t>
            </w:r>
          </w:p>
          <w:p>
            <w:pPr>
              <w:tabs>
                <w:tab w:val="left" w:pos="1080"/>
              </w:tabs>
              <w:spacing w:line="320" w:lineRule="exact"/>
              <w:rPr>
                <w:rFonts w:hint="eastAsia"/>
                <w:color w:val="auto"/>
                <w:highlight w:val="none"/>
              </w:rPr>
            </w:pPr>
            <w:r>
              <w:rPr>
                <w:rFonts w:hint="eastAsia" w:ascii="宋体" w:hAnsi="宋体"/>
                <w:color w:val="auto"/>
                <w:szCs w:val="21"/>
                <w:highlight w:val="none"/>
              </w:rPr>
              <w:t>分值构成（总分100分）其中：</w:t>
            </w:r>
          </w:p>
          <w:p>
            <w:pPr>
              <w:widowControl/>
              <w:jc w:val="left"/>
              <w:rPr>
                <w:color w:val="auto"/>
                <w:highlight w:val="none"/>
              </w:rPr>
            </w:pPr>
            <w:r>
              <w:rPr>
                <w:rFonts w:hint="eastAsia" w:ascii="宋体" w:hAnsi="宋体" w:cs="宋体"/>
                <w:color w:val="auto"/>
                <w:kern w:val="0"/>
                <w:szCs w:val="21"/>
                <w:highlight w:val="none"/>
                <w:lang w:bidi="ar"/>
              </w:rPr>
              <w:t xml:space="preserve">（1）技术标分值：40分 </w:t>
            </w:r>
          </w:p>
          <w:p>
            <w:pPr>
              <w:widowControl/>
              <w:jc w:val="left"/>
              <w:rPr>
                <w:rFonts w:ascii="宋体" w:hAnsi="宋体" w:cs="宋体"/>
                <w:b/>
                <w:color w:val="auto"/>
                <w:highlight w:val="none"/>
              </w:rPr>
            </w:pPr>
            <w:r>
              <w:rPr>
                <w:rFonts w:hint="eastAsia" w:ascii="宋体" w:hAnsi="宋体" w:cs="宋体"/>
                <w:color w:val="auto"/>
                <w:kern w:val="0"/>
                <w:szCs w:val="21"/>
                <w:highlight w:val="none"/>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2"/>
              <w:jc w:val="center"/>
              <w:rPr>
                <w:rFonts w:ascii="宋体" w:hAnsi="宋体" w:eastAsia="宋体" w:cs="宋体"/>
                <w:color w:val="auto"/>
                <w:sz w:val="21"/>
                <w:highlight w:val="none"/>
              </w:rPr>
            </w:pPr>
            <w:r>
              <w:rPr>
                <w:rFonts w:hint="eastAsia" w:ascii="宋体" w:hAnsi="宋体" w:eastAsia="宋体" w:cs="宋体"/>
                <w:color w:val="auto"/>
                <w:sz w:val="21"/>
                <w:highlight w:val="none"/>
              </w:rPr>
              <w:t>2.2.1</w:t>
            </w:r>
          </w:p>
        </w:tc>
        <w:tc>
          <w:tcPr>
            <w:tcW w:w="1209" w:type="dxa"/>
            <w:vMerge w:val="restart"/>
            <w:vAlign w:val="center"/>
          </w:tcPr>
          <w:p>
            <w:pPr>
              <w:pStyle w:val="42"/>
              <w:jc w:val="center"/>
              <w:rPr>
                <w:rFonts w:ascii="宋体" w:hAnsi="宋体" w:eastAsia="宋体" w:cs="宋体"/>
                <w:color w:val="auto"/>
                <w:sz w:val="21"/>
                <w:highlight w:val="none"/>
              </w:rPr>
            </w:pPr>
            <w:r>
              <w:rPr>
                <w:rFonts w:ascii="宋体" w:hAnsi="宋体" w:eastAsia="宋体" w:cs="宋体"/>
                <w:color w:val="auto"/>
                <w:sz w:val="21"/>
                <w:highlight w:val="none"/>
              </w:rPr>
              <w:t>技术标评分标准</w:t>
            </w:r>
            <w:r>
              <w:rPr>
                <w:rFonts w:hint="eastAsia" w:ascii="宋体" w:hAnsi="宋体"/>
                <w:color w:val="auto"/>
                <w:szCs w:val="21"/>
                <w:highlight w:val="none"/>
              </w:rPr>
              <w:t>（满分40分）</w:t>
            </w:r>
          </w:p>
        </w:tc>
        <w:tc>
          <w:tcPr>
            <w:tcW w:w="1444" w:type="dxa"/>
            <w:vAlign w:val="center"/>
          </w:tcPr>
          <w:p>
            <w:pPr>
              <w:tabs>
                <w:tab w:val="left" w:pos="1080"/>
              </w:tabs>
              <w:spacing w:line="400" w:lineRule="exact"/>
              <w:rPr>
                <w:rFonts w:ascii="宋体" w:hAnsi="宋体" w:cs="宋体"/>
                <w:color w:val="auto"/>
                <w:highlight w:val="none"/>
              </w:rPr>
            </w:pPr>
            <w:r>
              <w:rPr>
                <w:rFonts w:hint="eastAsia" w:ascii="宋体" w:hAnsi="宋体"/>
                <w:color w:val="auto"/>
                <w:szCs w:val="21"/>
                <w:highlight w:val="none"/>
              </w:rPr>
              <w:t>1、总体概述（施工程序总体设想及施工段划分）（满分10分）</w:t>
            </w:r>
          </w:p>
        </w:tc>
        <w:tc>
          <w:tcPr>
            <w:tcW w:w="4703" w:type="dxa"/>
            <w:vAlign w:val="top"/>
          </w:tcPr>
          <w:p>
            <w:pPr>
              <w:tabs>
                <w:tab w:val="left" w:pos="1080"/>
              </w:tabs>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差(3.0分)：对项目认识不足，表述不清晰，措施不具体；施工段划分不合理。</w:t>
            </w:r>
          </w:p>
          <w:p>
            <w:pPr>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良(6.0分)：对项目总体有认识，措施一般但部分不具体：施工段划分较合理，符合规范要求。</w:t>
            </w:r>
          </w:p>
          <w:p>
            <w:pPr>
              <w:adjustRightInd w:val="0"/>
              <w:spacing w:line="360" w:lineRule="auto"/>
              <w:textAlignment w:val="baseline"/>
              <w:rPr>
                <w:rFonts w:ascii="宋体" w:hAnsi="宋体" w:cs="宋体"/>
                <w:color w:val="auto"/>
                <w:spacing w:val="89"/>
                <w:highlight w:val="none"/>
              </w:rPr>
            </w:pPr>
            <w:r>
              <w:rPr>
                <w:rFonts w:hint="eastAsia" w:ascii="宋体" w:hAnsi="宋体" w:cs="宋体"/>
                <w:color w:val="auto"/>
                <w:szCs w:val="21"/>
                <w:highlight w:val="none"/>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tabs>
                <w:tab w:val="left" w:pos="1080"/>
              </w:tabs>
              <w:spacing w:line="360" w:lineRule="exact"/>
              <w:jc w:val="center"/>
              <w:rPr>
                <w:rFonts w:ascii="宋体" w:hAnsi="宋体" w:cs="宋体"/>
                <w:color w:val="auto"/>
                <w:highlight w:val="none"/>
              </w:rPr>
            </w:pPr>
            <w:r>
              <w:rPr>
                <w:rFonts w:hint="eastAsia" w:ascii="宋体" w:hAnsi="宋体"/>
                <w:color w:val="auto"/>
                <w:szCs w:val="21"/>
                <w:highlight w:val="none"/>
              </w:rPr>
              <w:t>2、主要工程项目的施工方案、方法及技术措施（10分）</w:t>
            </w:r>
          </w:p>
        </w:tc>
        <w:tc>
          <w:tcPr>
            <w:tcW w:w="4703" w:type="dxa"/>
            <w:vAlign w:val="top"/>
          </w:tcPr>
          <w:p>
            <w:pPr>
              <w:tabs>
                <w:tab w:val="left" w:pos="1080"/>
              </w:tabs>
              <w:spacing w:line="400" w:lineRule="exact"/>
              <w:rPr>
                <w:rFonts w:ascii="宋体" w:hAnsi="宋体"/>
                <w:color w:val="auto"/>
                <w:szCs w:val="21"/>
                <w:highlight w:val="none"/>
              </w:rPr>
            </w:pPr>
            <w:r>
              <w:rPr>
                <w:rFonts w:hint="eastAsia" w:ascii="宋体" w:hAnsi="宋体" w:cs="宋体"/>
                <w:color w:val="auto"/>
                <w:szCs w:val="21"/>
                <w:highlight w:val="none"/>
              </w:rPr>
              <w:t>差(3.0分)</w:t>
            </w:r>
            <w:r>
              <w:rPr>
                <w:rFonts w:hint="eastAsia" w:ascii="宋体" w:hAnsi="宋体"/>
                <w:color w:val="auto"/>
                <w:szCs w:val="21"/>
                <w:highlight w:val="none"/>
              </w:rPr>
              <w:t>：对项目关键技术表述不清，对重点、难点建议一般，解决方案不可行。</w:t>
            </w:r>
          </w:p>
          <w:p>
            <w:pPr>
              <w:tabs>
                <w:tab w:val="left" w:pos="1080"/>
              </w:tabs>
              <w:spacing w:line="400" w:lineRule="exact"/>
              <w:rPr>
                <w:rFonts w:ascii="宋体" w:hAnsi="宋体"/>
                <w:color w:val="auto"/>
                <w:szCs w:val="21"/>
                <w:highlight w:val="none"/>
              </w:rPr>
            </w:pPr>
            <w:r>
              <w:rPr>
                <w:rFonts w:hint="eastAsia" w:ascii="宋体" w:hAnsi="宋体" w:cs="宋体"/>
                <w:color w:val="auto"/>
                <w:szCs w:val="21"/>
                <w:highlight w:val="none"/>
              </w:rPr>
              <w:t>良(6.0分)：</w:t>
            </w:r>
            <w:r>
              <w:rPr>
                <w:rFonts w:hint="eastAsia" w:ascii="宋体" w:hAnsi="宋体"/>
                <w:color w:val="auto"/>
                <w:szCs w:val="21"/>
                <w:highlight w:val="none"/>
              </w:rPr>
              <w:t>对项目关键技术、工艺有深入的表述，对重点、难点有合理的建议，解决方案经济、安全、基本可行。</w:t>
            </w:r>
          </w:p>
          <w:p>
            <w:pPr>
              <w:tabs>
                <w:tab w:val="left" w:pos="1080"/>
              </w:tabs>
              <w:spacing w:line="400" w:lineRule="exact"/>
              <w:rPr>
                <w:rFonts w:ascii="宋体" w:hAnsi="宋体" w:cs="宋体"/>
                <w:color w:val="auto"/>
                <w:spacing w:val="89"/>
                <w:highlight w:val="none"/>
              </w:rPr>
            </w:pPr>
            <w:r>
              <w:rPr>
                <w:rFonts w:hint="eastAsia" w:ascii="宋体" w:hAnsi="宋体" w:cs="宋体"/>
                <w:color w:val="auto"/>
                <w:szCs w:val="21"/>
                <w:highlight w:val="none"/>
              </w:rPr>
              <w:t>优(10.0分)：</w:t>
            </w:r>
            <w:r>
              <w:rPr>
                <w:rFonts w:hint="eastAsia" w:ascii="宋体" w:hAnsi="宋体"/>
                <w:color w:val="auto"/>
                <w:szCs w:val="21"/>
                <w:highlight w:val="none"/>
              </w:rPr>
              <w:t>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tabs>
                <w:tab w:val="left" w:pos="1080"/>
              </w:tabs>
              <w:spacing w:line="360" w:lineRule="exact"/>
              <w:jc w:val="center"/>
              <w:rPr>
                <w:rFonts w:ascii="宋体" w:hAnsi="宋体" w:cs="宋体"/>
                <w:color w:val="auto"/>
                <w:highlight w:val="none"/>
              </w:rPr>
            </w:pPr>
            <w:r>
              <w:rPr>
                <w:rFonts w:hint="eastAsia" w:ascii="宋体" w:hAnsi="宋体" w:cs="Arial"/>
                <w:color w:val="auto"/>
                <w:kern w:val="0"/>
                <w:szCs w:val="21"/>
                <w:highlight w:val="none"/>
              </w:rPr>
              <w:t>3、施工进度计划和各阶段进度的保证措施及违约责任承诺（满分5分）</w:t>
            </w:r>
          </w:p>
        </w:tc>
        <w:tc>
          <w:tcPr>
            <w:tcW w:w="4703" w:type="dxa"/>
            <w:vAlign w:val="top"/>
          </w:tcPr>
          <w:p>
            <w:pPr>
              <w:tabs>
                <w:tab w:val="left" w:pos="1080"/>
              </w:tabs>
              <w:spacing w:line="400" w:lineRule="exact"/>
              <w:rPr>
                <w:rFonts w:ascii="宋体" w:hAnsi="宋体"/>
                <w:color w:val="auto"/>
                <w:szCs w:val="21"/>
                <w:highlight w:val="none"/>
              </w:rPr>
            </w:pPr>
            <w:r>
              <w:rPr>
                <w:rFonts w:hint="eastAsia" w:ascii="宋体" w:hAnsi="宋体" w:cs="宋体"/>
                <w:color w:val="auto"/>
                <w:szCs w:val="21"/>
                <w:highlight w:val="none"/>
              </w:rPr>
              <w:t>差(1.5分)：</w:t>
            </w:r>
            <w:r>
              <w:rPr>
                <w:rFonts w:hint="eastAsia" w:ascii="宋体" w:hAnsi="宋体"/>
                <w:color w:val="auto"/>
                <w:szCs w:val="21"/>
                <w:highlight w:val="none"/>
              </w:rPr>
              <w:t>关键线路不准确，计划编制不合理，关键节点的控制不可行，没有违约责任承诺。</w:t>
            </w:r>
          </w:p>
          <w:p>
            <w:pPr>
              <w:tabs>
                <w:tab w:val="left" w:pos="1080"/>
              </w:tabs>
              <w:spacing w:line="400" w:lineRule="exact"/>
              <w:rPr>
                <w:rFonts w:ascii="宋体" w:hAnsi="宋体"/>
                <w:color w:val="auto"/>
                <w:szCs w:val="21"/>
                <w:highlight w:val="none"/>
              </w:rPr>
            </w:pPr>
            <w:r>
              <w:rPr>
                <w:rFonts w:hint="eastAsia" w:ascii="宋体" w:hAnsi="宋体" w:cs="宋体"/>
                <w:color w:val="auto"/>
                <w:szCs w:val="21"/>
                <w:highlight w:val="none"/>
              </w:rPr>
              <w:t>良(3.0分)：</w:t>
            </w:r>
            <w:r>
              <w:rPr>
                <w:rFonts w:hint="eastAsia" w:ascii="宋体" w:hAnsi="宋体"/>
                <w:color w:val="auto"/>
                <w:szCs w:val="21"/>
                <w:highlight w:val="none"/>
              </w:rPr>
              <w:t>关键线路基本准确，计划编制基本合理，关键节点的控制措施基本可行，进度违约责任承诺具体。</w:t>
            </w:r>
          </w:p>
          <w:p>
            <w:pPr>
              <w:tabs>
                <w:tab w:val="left" w:pos="1080"/>
              </w:tabs>
              <w:spacing w:line="400" w:lineRule="exact"/>
              <w:rPr>
                <w:rFonts w:ascii="宋体" w:hAnsi="宋体" w:cs="宋体"/>
                <w:color w:val="auto"/>
                <w:spacing w:val="89"/>
                <w:highlight w:val="none"/>
              </w:rPr>
            </w:pPr>
            <w:r>
              <w:rPr>
                <w:rFonts w:hint="eastAsia" w:ascii="宋体" w:hAnsi="宋体" w:cs="宋体"/>
                <w:color w:val="auto"/>
                <w:szCs w:val="21"/>
                <w:highlight w:val="none"/>
              </w:rPr>
              <w:t>优(5.0分)：</w:t>
            </w:r>
            <w:r>
              <w:rPr>
                <w:rFonts w:hint="eastAsia" w:ascii="宋体" w:hAnsi="宋体"/>
                <w:color w:val="auto"/>
                <w:szCs w:val="21"/>
                <w:highlight w:val="none"/>
              </w:rPr>
              <w:t>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tabs>
                <w:tab w:val="left" w:pos="1080"/>
              </w:tabs>
              <w:spacing w:line="360" w:lineRule="exact"/>
              <w:jc w:val="center"/>
              <w:rPr>
                <w:rFonts w:ascii="宋体" w:hAnsi="宋体" w:cs="宋体"/>
                <w:color w:val="auto"/>
                <w:highlight w:val="none"/>
              </w:rPr>
            </w:pPr>
            <w:r>
              <w:rPr>
                <w:rFonts w:hint="eastAsia" w:ascii="宋体" w:hAnsi="宋体"/>
                <w:color w:val="auto"/>
                <w:szCs w:val="21"/>
                <w:highlight w:val="none"/>
              </w:rPr>
              <w:t>4、安全文明施工措施（满分5分）</w:t>
            </w:r>
          </w:p>
        </w:tc>
        <w:tc>
          <w:tcPr>
            <w:tcW w:w="4703" w:type="dxa"/>
            <w:vAlign w:val="top"/>
          </w:tcPr>
          <w:p>
            <w:pPr>
              <w:tabs>
                <w:tab w:val="left" w:pos="1080"/>
              </w:tabs>
              <w:spacing w:line="400" w:lineRule="exact"/>
              <w:ind w:firstLine="105" w:firstLineChars="50"/>
              <w:rPr>
                <w:rFonts w:ascii="宋体" w:hAnsi="宋体"/>
                <w:color w:val="auto"/>
                <w:szCs w:val="21"/>
                <w:highlight w:val="none"/>
              </w:rPr>
            </w:pPr>
            <w:r>
              <w:rPr>
                <w:rFonts w:hint="eastAsia" w:ascii="宋体" w:hAnsi="宋体" w:cs="宋体"/>
                <w:color w:val="auto"/>
                <w:szCs w:val="21"/>
                <w:highlight w:val="none"/>
              </w:rPr>
              <w:t>差(1.5分)：</w:t>
            </w:r>
            <w:r>
              <w:rPr>
                <w:rFonts w:hint="eastAsia" w:ascii="宋体" w:hAnsi="宋体"/>
                <w:color w:val="auto"/>
                <w:szCs w:val="21"/>
                <w:highlight w:val="none"/>
              </w:rPr>
              <w:t>安全文明措施不得力，采用规范不正确。</w:t>
            </w:r>
          </w:p>
          <w:p>
            <w:pPr>
              <w:tabs>
                <w:tab w:val="left" w:pos="1080"/>
              </w:tabs>
              <w:spacing w:line="400" w:lineRule="exact"/>
              <w:ind w:firstLine="105" w:firstLineChars="50"/>
              <w:rPr>
                <w:rFonts w:ascii="宋体" w:hAnsi="宋体"/>
                <w:color w:val="auto"/>
                <w:szCs w:val="21"/>
                <w:highlight w:val="none"/>
              </w:rPr>
            </w:pPr>
            <w:r>
              <w:rPr>
                <w:rFonts w:hint="eastAsia" w:ascii="宋体" w:hAnsi="宋体" w:cs="宋体"/>
                <w:color w:val="auto"/>
                <w:szCs w:val="21"/>
                <w:highlight w:val="none"/>
              </w:rPr>
              <w:t>良(3.0分)：</w:t>
            </w:r>
            <w:r>
              <w:rPr>
                <w:rFonts w:hint="eastAsia" w:ascii="宋体" w:hAnsi="宋体"/>
                <w:color w:val="auto"/>
                <w:szCs w:val="21"/>
                <w:highlight w:val="none"/>
              </w:rPr>
              <w:t>针对项目实际情况，有合理的措施且具体、完整，采用规范正确。</w:t>
            </w:r>
          </w:p>
          <w:p>
            <w:pPr>
              <w:tabs>
                <w:tab w:val="left" w:pos="1080"/>
              </w:tabs>
              <w:spacing w:line="400" w:lineRule="exact"/>
              <w:ind w:firstLine="105" w:firstLineChars="50"/>
              <w:rPr>
                <w:rFonts w:ascii="宋体" w:hAnsi="宋体" w:cs="宋体"/>
                <w:color w:val="auto"/>
                <w:spacing w:val="89"/>
                <w:highlight w:val="none"/>
              </w:rPr>
            </w:pPr>
            <w:r>
              <w:rPr>
                <w:rFonts w:hint="eastAsia" w:ascii="宋体" w:hAnsi="宋体" w:cs="宋体"/>
                <w:color w:val="auto"/>
                <w:szCs w:val="21"/>
                <w:highlight w:val="none"/>
              </w:rPr>
              <w:t>优(5.0分)</w:t>
            </w:r>
            <w:r>
              <w:rPr>
                <w:rFonts w:hint="eastAsia" w:ascii="宋体" w:hAnsi="宋体"/>
                <w:color w:val="auto"/>
                <w:szCs w:val="21"/>
                <w:highlight w:val="none"/>
              </w:rPr>
              <w:t>：针对项目实际情况，有先进、具体、完整、可行的实施措施，采用规范正确、清晰。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autoSpaceDE w:val="0"/>
              <w:autoSpaceDN w:val="0"/>
              <w:adjustRightInd w:val="0"/>
              <w:spacing w:line="280" w:lineRule="exact"/>
              <w:ind w:right="-20"/>
              <w:jc w:val="center"/>
              <w:rPr>
                <w:rFonts w:ascii="宋体" w:hAnsi="宋体" w:cs="宋体"/>
                <w:color w:val="auto"/>
                <w:highlight w:val="none"/>
              </w:rPr>
            </w:pPr>
            <w:r>
              <w:rPr>
                <w:rFonts w:hint="eastAsia" w:ascii="宋体" w:hAnsi="宋体"/>
                <w:color w:val="auto"/>
                <w:szCs w:val="21"/>
                <w:highlight w:val="none"/>
              </w:rPr>
              <w:t>5、质量保证措施（满分5分）</w:t>
            </w:r>
          </w:p>
        </w:tc>
        <w:tc>
          <w:tcPr>
            <w:tcW w:w="4703" w:type="dxa"/>
            <w:vAlign w:val="top"/>
          </w:tcPr>
          <w:p>
            <w:pPr>
              <w:tabs>
                <w:tab w:val="left" w:pos="1080"/>
              </w:tabs>
              <w:spacing w:line="400" w:lineRule="exact"/>
              <w:rPr>
                <w:rFonts w:ascii="宋体" w:hAnsi="宋体"/>
                <w:color w:val="auto"/>
                <w:szCs w:val="21"/>
                <w:highlight w:val="none"/>
              </w:rPr>
            </w:pPr>
            <w:r>
              <w:rPr>
                <w:rFonts w:hint="eastAsia" w:ascii="宋体" w:hAnsi="宋体" w:cs="宋体"/>
                <w:color w:val="auto"/>
                <w:szCs w:val="21"/>
                <w:highlight w:val="none"/>
              </w:rPr>
              <w:t>差(1.0分)：</w:t>
            </w:r>
            <w:r>
              <w:rPr>
                <w:rFonts w:hint="eastAsia" w:ascii="宋体" w:hAnsi="宋体"/>
                <w:color w:val="auto"/>
                <w:szCs w:val="21"/>
                <w:highlight w:val="none"/>
              </w:rPr>
              <w:t>具体措施可行，满足招标文件的质量要求。</w:t>
            </w:r>
          </w:p>
          <w:p>
            <w:pPr>
              <w:tabs>
                <w:tab w:val="left" w:pos="1080"/>
              </w:tabs>
              <w:spacing w:line="400" w:lineRule="exact"/>
              <w:rPr>
                <w:rFonts w:ascii="宋体" w:hAnsi="宋体"/>
                <w:color w:val="auto"/>
                <w:szCs w:val="21"/>
                <w:highlight w:val="none"/>
              </w:rPr>
            </w:pPr>
            <w:r>
              <w:rPr>
                <w:rFonts w:hint="eastAsia" w:ascii="宋体" w:hAnsi="宋体"/>
                <w:color w:val="auto"/>
                <w:szCs w:val="21"/>
                <w:highlight w:val="none"/>
              </w:rPr>
              <w:t>良(3.0分)：针对项目实际提出先进、可行、具体的保证措施，满足招标文件的质量要求。</w:t>
            </w:r>
          </w:p>
          <w:p>
            <w:pPr>
              <w:tabs>
                <w:tab w:val="left" w:pos="1080"/>
              </w:tabs>
              <w:spacing w:line="400" w:lineRule="exact"/>
              <w:rPr>
                <w:rFonts w:ascii="宋体" w:hAnsi="宋体" w:cs="宋体"/>
                <w:color w:val="auto"/>
                <w:spacing w:val="89"/>
                <w:highlight w:val="none"/>
              </w:rPr>
            </w:pPr>
            <w:r>
              <w:rPr>
                <w:rFonts w:hint="eastAsia" w:ascii="宋体" w:hAnsi="宋体"/>
                <w:color w:val="auto"/>
                <w:szCs w:val="21"/>
                <w:highlight w:val="none"/>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
              <w:ind w:firstLine="918"/>
              <w:rPr>
                <w:rFonts w:hint="eastAsia" w:ascii="宋体" w:hAnsi="宋体"/>
                <w:b/>
                <w:color w:val="auto"/>
                <w:highlight w:val="none"/>
                <w:lang w:val="en-US" w:eastAsia="zh-CN"/>
              </w:rPr>
            </w:pPr>
          </w:p>
        </w:tc>
        <w:tc>
          <w:tcPr>
            <w:tcW w:w="1209" w:type="dxa"/>
            <w:vMerge w:val="continue"/>
            <w:vAlign w:val="top"/>
          </w:tcPr>
          <w:p>
            <w:pPr>
              <w:pStyle w:val="2"/>
              <w:ind w:firstLine="810"/>
              <w:rPr>
                <w:rFonts w:ascii="宋体" w:hAnsi="宋体" w:eastAsia="宋体" w:cs="宋体"/>
                <w:color w:val="auto"/>
                <w:sz w:val="21"/>
                <w:szCs w:val="24"/>
                <w:highlight w:val="none"/>
                <w:lang w:val="en-US" w:eastAsia="zh-CN"/>
              </w:rPr>
            </w:pPr>
          </w:p>
        </w:tc>
        <w:tc>
          <w:tcPr>
            <w:tcW w:w="1444" w:type="dxa"/>
            <w:vAlign w:val="center"/>
          </w:tcPr>
          <w:p>
            <w:pPr>
              <w:tabs>
                <w:tab w:val="left" w:pos="1080"/>
              </w:tabs>
              <w:spacing w:line="360" w:lineRule="exact"/>
              <w:jc w:val="center"/>
              <w:rPr>
                <w:rFonts w:ascii="宋体" w:hAnsi="宋体" w:cs="宋体"/>
                <w:color w:val="auto"/>
                <w:highlight w:val="none"/>
              </w:rPr>
            </w:pPr>
            <w:r>
              <w:rPr>
                <w:rFonts w:hint="eastAsia" w:ascii="宋体" w:hAnsi="宋体" w:cs="Arial"/>
                <w:color w:val="auto"/>
                <w:kern w:val="0"/>
                <w:szCs w:val="21"/>
                <w:highlight w:val="none"/>
              </w:rPr>
              <w:t>6、劳动力和材料投入计划及其保证措施（满分5分）</w:t>
            </w:r>
          </w:p>
        </w:tc>
        <w:tc>
          <w:tcPr>
            <w:tcW w:w="4703" w:type="dxa"/>
            <w:vAlign w:val="top"/>
          </w:tcPr>
          <w:p>
            <w:pPr>
              <w:tabs>
                <w:tab w:val="left" w:pos="1080"/>
              </w:tabs>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差(1.0分)：投入计划与进度计划呼应，基本满足施工要求，调配投入计划基本合理。</w:t>
            </w:r>
          </w:p>
          <w:p>
            <w:pPr>
              <w:tabs>
                <w:tab w:val="left" w:pos="1080"/>
              </w:tabs>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良(3.0分)：投入计划与进度计划呼应，满足施工要求，调配投入计划合理、准确。</w:t>
            </w:r>
          </w:p>
          <w:p>
            <w:pPr>
              <w:tabs>
                <w:tab w:val="left" w:pos="1080"/>
              </w:tabs>
              <w:spacing w:line="400" w:lineRule="exact"/>
              <w:ind w:firstLine="105" w:firstLineChars="50"/>
              <w:rPr>
                <w:rFonts w:ascii="宋体" w:hAnsi="宋体" w:cs="宋体"/>
                <w:color w:val="auto"/>
                <w:spacing w:val="89"/>
                <w:highlight w:val="none"/>
              </w:rPr>
            </w:pPr>
            <w:r>
              <w:rPr>
                <w:rFonts w:hint="eastAsia" w:ascii="宋体" w:hAnsi="宋体"/>
                <w:color w:val="auto"/>
                <w:szCs w:val="21"/>
                <w:highlight w:val="none"/>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30" w:type="dxa"/>
            <w:vAlign w:val="center"/>
          </w:tcPr>
          <w:p>
            <w:pPr>
              <w:tabs>
                <w:tab w:val="left" w:pos="1080"/>
              </w:tabs>
              <w:spacing w:line="320" w:lineRule="exact"/>
              <w:jc w:val="center"/>
              <w:rPr>
                <w:rFonts w:ascii="宋体" w:hAnsi="宋体"/>
                <w:color w:val="auto"/>
                <w:szCs w:val="21"/>
                <w:highlight w:val="none"/>
              </w:rPr>
            </w:pPr>
            <w:r>
              <w:rPr>
                <w:rFonts w:hint="eastAsia" w:ascii="宋体" w:hAnsi="宋体"/>
                <w:color w:val="auto"/>
                <w:szCs w:val="21"/>
                <w:highlight w:val="none"/>
              </w:rPr>
              <w:t>2.2.2（1）</w:t>
            </w:r>
          </w:p>
        </w:tc>
        <w:tc>
          <w:tcPr>
            <w:tcW w:w="1209" w:type="dxa"/>
            <w:vAlign w:val="center"/>
          </w:tcPr>
          <w:p>
            <w:pPr>
              <w:tabs>
                <w:tab w:val="left" w:pos="1080"/>
              </w:tabs>
              <w:spacing w:line="320" w:lineRule="exact"/>
              <w:rPr>
                <w:rFonts w:hint="eastAsia" w:ascii="宋体" w:hAnsi="宋体"/>
                <w:color w:val="auto"/>
                <w:szCs w:val="21"/>
                <w:highlight w:val="none"/>
              </w:rPr>
            </w:pPr>
            <w:r>
              <w:rPr>
                <w:rFonts w:hint="eastAsia" w:ascii="宋体" w:hAnsi="宋体"/>
                <w:color w:val="auto"/>
                <w:szCs w:val="21"/>
                <w:highlight w:val="none"/>
              </w:rPr>
              <w:t>评标基准价计算方法</w:t>
            </w:r>
          </w:p>
        </w:tc>
        <w:tc>
          <w:tcPr>
            <w:tcW w:w="6147" w:type="dxa"/>
            <w:gridSpan w:val="2"/>
            <w:vAlign w:val="center"/>
          </w:tcPr>
          <w:p>
            <w:pPr>
              <w:tabs>
                <w:tab w:val="left" w:pos="1080"/>
              </w:tabs>
              <w:spacing w:line="320" w:lineRule="exac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）评标基准价的确定：</w:t>
            </w:r>
          </w:p>
          <w:p>
            <w:pPr>
              <w:tabs>
                <w:tab w:val="left" w:pos="1080"/>
              </w:tabs>
              <w:spacing w:line="320" w:lineRule="exact"/>
              <w:rPr>
                <w:rFonts w:ascii="宋体" w:hAnsi="宋体" w:eastAsia="宋体" w:cs="宋体"/>
                <w:color w:val="auto"/>
                <w:spacing w:val="89"/>
                <w:sz w:val="21"/>
                <w:highlight w:val="none"/>
              </w:rPr>
            </w:pPr>
            <w:r>
              <w:rPr>
                <w:rFonts w:hint="eastAsia" w:ascii="宋体" w:hAnsi="宋体"/>
                <w:b/>
                <w:color w:val="auto"/>
                <w:szCs w:val="21"/>
                <w:highlight w:val="none"/>
              </w:rPr>
              <w:t>除初步评审为废标之外，服务商提供有效报价的平均值作为评标基准价。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jc w:val="center"/>
              <w:rPr>
                <w:rFonts w:ascii="宋体" w:hAnsi="宋体"/>
                <w:color w:val="auto"/>
                <w:szCs w:val="21"/>
                <w:highlight w:val="none"/>
              </w:rPr>
            </w:pPr>
            <w:r>
              <w:rPr>
                <w:rFonts w:hint="eastAsia" w:ascii="宋体" w:hAnsi="宋体"/>
                <w:color w:val="auto"/>
                <w:szCs w:val="21"/>
                <w:highlight w:val="none"/>
              </w:rPr>
              <w:t>2.2.2（2）</w:t>
            </w:r>
          </w:p>
        </w:tc>
        <w:tc>
          <w:tcPr>
            <w:tcW w:w="1209" w:type="dxa"/>
            <w:vAlign w:val="top"/>
          </w:tcPr>
          <w:p>
            <w:pPr>
              <w:tabs>
                <w:tab w:val="left" w:pos="1080"/>
              </w:tabs>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价格</w:t>
            </w:r>
            <w:r>
              <w:rPr>
                <w:rFonts w:hint="eastAsia" w:ascii="宋体" w:hAnsi="宋体"/>
                <w:color w:val="auto"/>
                <w:szCs w:val="21"/>
                <w:highlight w:val="none"/>
              </w:rPr>
              <w:t>（满分60分）</w:t>
            </w:r>
          </w:p>
        </w:tc>
        <w:tc>
          <w:tcPr>
            <w:tcW w:w="614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b/>
                <w:color w:val="auto"/>
                <w:szCs w:val="21"/>
                <w:highlight w:val="none"/>
                <w:lang w:val="en-US" w:eastAsia="zh-CN"/>
              </w:rPr>
            </w:pPr>
            <w:r>
              <w:rPr>
                <w:rFonts w:hint="eastAsia" w:ascii="宋体" w:hAnsi="宋体" w:eastAsia="宋体" w:cs="宋体"/>
                <w:bCs/>
                <w:color w:val="auto"/>
                <w:sz w:val="21"/>
                <w:szCs w:val="21"/>
                <w:highlight w:val="none"/>
              </w:rPr>
              <w:t>磋商报价得分=（磋商基准价/最后磋商报价）×</w:t>
            </w:r>
            <w:r>
              <w:rPr>
                <w:rFonts w:hint="eastAsia" w:ascii="宋体" w:hAnsi="宋体" w:eastAsia="宋体" w:cs="宋体"/>
                <w:bCs/>
                <w:color w:val="auto"/>
                <w:sz w:val="21"/>
                <w:szCs w:val="21"/>
                <w:highlight w:val="none"/>
                <w:lang w:val="en-US" w:eastAsia="zh-CN"/>
              </w:rPr>
              <w:t>60</w:t>
            </w:r>
          </w:p>
        </w:tc>
      </w:tr>
    </w:tbl>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color w:val="auto"/>
          <w:highlight w:val="none"/>
          <w:lang w:val="en-US" w:eastAsia="zh-CN"/>
        </w:rPr>
      </w:pPr>
      <w:r>
        <w:rPr>
          <w:rFonts w:hint="eastAsia"/>
          <w:color w:val="auto"/>
          <w:highlight w:val="none"/>
          <w:lang w:val="en-US" w:eastAsia="zh-CN"/>
        </w:rPr>
        <w:t>第六章  响应文件格式</w:t>
      </w:r>
    </w:p>
    <w:p>
      <w:pPr>
        <w:rPr>
          <w:rFonts w:hint="eastAsia"/>
          <w:color w:val="auto"/>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pPr>
        <w:rPr>
          <w:rFonts w:hint="eastAsia" w:ascii="宋体" w:hAnsi="宋体" w:eastAsia="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pPr>
        <w:rPr>
          <w:rFonts w:hint="eastAsia" w:ascii="宋体" w:hAnsi="宋体" w:eastAsia="宋体" w:cs="宋体"/>
          <w:b w:val="0"/>
          <w:bCs w:val="0"/>
          <w:color w:val="auto"/>
          <w:sz w:val="32"/>
          <w:szCs w:val="32"/>
          <w:highlight w:val="none"/>
          <w:lang w:val="en-US" w:eastAsia="zh-CN"/>
        </w:rPr>
      </w:pP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pPr>
        <w:rPr>
          <w:rFonts w:hint="eastAsia"/>
          <w:color w:val="auto"/>
          <w:highlight w:val="none"/>
          <w:lang w:val="en-US" w:eastAsia="zh-CN"/>
        </w:rPr>
      </w:pPr>
      <w:r>
        <w:rPr>
          <w:rFonts w:hint="eastAsia"/>
          <w:color w:val="auto"/>
          <w:highlight w:val="none"/>
          <w:lang w:val="en-US" w:eastAsia="zh-CN"/>
        </w:rPr>
        <w:br w:type="page"/>
      </w:r>
    </w:p>
    <w:p>
      <w:pPr>
        <w:spacing w:line="360" w:lineRule="auto"/>
        <w:rPr>
          <w:rFonts w:hint="eastAsia" w:ascii="宋体" w:hAnsi="宋体" w:eastAsia="宋体" w:cs="宋体"/>
          <w:b w:val="0"/>
          <w:bCs w:val="0"/>
          <w:color w:val="auto"/>
          <w:sz w:val="32"/>
          <w:szCs w:val="32"/>
          <w:highlight w:val="none"/>
        </w:rPr>
      </w:pPr>
      <w:bookmarkStart w:id="18" w:name="_Toc31728084"/>
      <w:bookmarkStart w:id="19" w:name="_Toc44229899"/>
      <w:bookmarkStart w:id="20" w:name="_Toc35611516"/>
      <w:bookmarkStart w:id="21" w:name="_Toc30694"/>
      <w:bookmarkStart w:id="22" w:name="_Toc31723070"/>
      <w:bookmarkStart w:id="23" w:name="_Toc35611438"/>
      <w:r>
        <w:rPr>
          <w:rFonts w:hint="eastAsia" w:ascii="宋体" w:hAnsi="宋体" w:eastAsia="宋体" w:cs="宋体"/>
          <w:b w:val="0"/>
          <w:bCs w:val="0"/>
          <w:color w:val="auto"/>
          <w:sz w:val="32"/>
          <w:szCs w:val="32"/>
          <w:highlight w:val="none"/>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pPr>
        <w:pStyle w:val="9"/>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根据磋商文件规定及供应商提供的材料自行编写目录（部分格式后附）</w:t>
      </w:r>
      <w:r>
        <w:rPr>
          <w:rFonts w:hint="eastAsia"/>
          <w:color w:val="auto"/>
          <w:highlight w:val="none"/>
        </w:rPr>
        <w:t>。</w:t>
      </w:r>
    </w:p>
    <w:p>
      <w:pPr>
        <w:jc w:val="center"/>
        <w:rPr>
          <w:rFonts w:hint="eastAsia"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pPr>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pPr>
        <w:pStyle w:val="8"/>
        <w:rPr>
          <w:rFonts w:hint="eastAsia"/>
          <w:color w:val="auto"/>
          <w:sz w:val="28"/>
          <w:szCs w:val="28"/>
          <w:highlight w:val="none"/>
        </w:rPr>
      </w:pPr>
    </w:p>
    <w:p>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pPr>
        <w:pStyle w:val="8"/>
        <w:rPr>
          <w:rFonts w:hint="eastAsia"/>
          <w:color w:val="auto"/>
          <w:highlight w:val="none"/>
        </w:rPr>
      </w:pPr>
    </w:p>
    <w:p>
      <w:pPr>
        <w:pStyle w:val="8"/>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rPr>
          <w:rFonts w:hint="eastAsia" w:ascii="宋体" w:hAnsi="宋体" w:eastAsia="宋体" w:cs="宋体"/>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pPr>
        <w:pStyle w:val="9"/>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rPr>
          <w:rFonts w:hint="eastAsia"/>
          <w:color w:val="auto"/>
          <w:highlight w:val="none"/>
          <w:lang w:val="en-US" w:eastAsia="zh-CN"/>
        </w:rPr>
      </w:pPr>
      <w:r>
        <w:rPr>
          <w:rFonts w:hint="eastAsia" w:ascii="宋体" w:hAnsi="宋体" w:eastAsia="宋体" w:cs="宋体"/>
          <w:color w:val="auto"/>
          <w:sz w:val="32"/>
          <w:szCs w:val="32"/>
          <w:highlight w:val="none"/>
        </w:rPr>
        <w:br w:type="page"/>
      </w:r>
    </w:p>
    <w:p>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pPr>
        <w:rPr>
          <w:rFonts w:hint="eastAsia"/>
          <w:color w:val="auto"/>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项目名称：北部湾(钦州)国际粮食加工产业园项目大门施工工程</w:t>
      </w:r>
    </w:p>
    <w:tbl>
      <w:tblPr>
        <w:tblStyle w:val="2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38"/>
        <w:gridCol w:w="3849"/>
        <w:gridCol w:w="198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26" w:type="dxa"/>
            <w:gridSpan w:val="3"/>
            <w:noWrap w:val="0"/>
            <w:vAlign w:val="center"/>
          </w:tcPr>
          <w:p>
            <w:pPr>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竞标报价</w:t>
            </w:r>
            <w:r>
              <w:rPr>
                <w:rFonts w:hint="eastAsia" w:ascii="宋体" w:hAnsi="宋体" w:eastAsia="宋体" w:cs="宋体"/>
                <w:color w:val="auto"/>
                <w:sz w:val="21"/>
                <w:szCs w:val="21"/>
                <w:highlight w:val="none"/>
                <w:lang w:val="en-US" w:eastAsia="zh-CN"/>
              </w:rPr>
              <w:t>=（1+2+3+4+5+6）</w:t>
            </w:r>
          </w:p>
        </w:tc>
        <w:tc>
          <w:tcPr>
            <w:tcW w:w="1987" w:type="dxa"/>
            <w:noWrap w:val="0"/>
            <w:vAlign w:val="center"/>
          </w:tcPr>
          <w:p>
            <w:pPr>
              <w:ind w:left="0" w:leftChars="0" w:firstLine="0" w:firstLineChars="0"/>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center"/>
          </w:tcPr>
          <w:p>
            <w:pPr>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9" w:type="dxa"/>
            <w:vMerge w:val="restart"/>
            <w:noWrap w:val="0"/>
            <w:vAlign w:val="center"/>
          </w:tcPr>
          <w:p>
            <w:pPr>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其中</w:t>
            </w: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分部分项工程和单价措施项目清单计价合计</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其中:暂估价</w:t>
            </w:r>
          </w:p>
        </w:tc>
        <w:tc>
          <w:tcPr>
            <w:tcW w:w="1987" w:type="dxa"/>
            <w:noWrap w:val="0"/>
            <w:vAlign w:val="center"/>
          </w:tcPr>
          <w:p>
            <w:pPr>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总价措施项目清单计价合计</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2.1</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 xml:space="preserve"> 其中:安全文明施工费</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其他项目清单计价合计</w:t>
            </w:r>
          </w:p>
        </w:tc>
        <w:tc>
          <w:tcPr>
            <w:tcW w:w="1987" w:type="dxa"/>
            <w:noWrap w:val="0"/>
            <w:vAlign w:val="center"/>
          </w:tcPr>
          <w:p>
            <w:pPr>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税前项目清单计价合计</w:t>
            </w:r>
          </w:p>
        </w:tc>
        <w:tc>
          <w:tcPr>
            <w:tcW w:w="1987" w:type="dxa"/>
            <w:noWrap w:val="0"/>
            <w:vAlign w:val="center"/>
          </w:tcPr>
          <w:p>
            <w:pPr>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规费</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rPr>
                <w:color w:val="auto"/>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highlight w:val="none"/>
                <w:u w:val="none"/>
                <w:lang w:val="en-US" w:eastAsia="zh-CN" w:bidi="ar"/>
              </w:rPr>
              <w:t>增值税</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日期：   年   月   日</w:t>
      </w:r>
    </w:p>
    <w:p>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已标价工程量清单</w:t>
      </w:r>
    </w:p>
    <w:p>
      <w:pPr>
        <w:pStyle w:val="11"/>
        <w:jc w:val="center"/>
        <w:rPr>
          <w:rFonts w:hint="default"/>
          <w:b w:val="0"/>
          <w:bCs w:val="0"/>
          <w:color w:val="auto"/>
          <w:highlight w:val="none"/>
          <w:lang w:val="en-US" w:eastAsia="zh-CN"/>
        </w:rPr>
      </w:pPr>
      <w:r>
        <w:rPr>
          <w:rFonts w:hint="eastAsia" w:ascii="宋体" w:hAnsi="宋体" w:eastAsia="宋体" w:cs="宋体"/>
          <w:b w:val="0"/>
          <w:bCs w:val="0"/>
          <w:color w:val="auto"/>
          <w:sz w:val="32"/>
          <w:szCs w:val="32"/>
          <w:highlight w:val="none"/>
          <w:lang w:val="en-US" w:eastAsia="zh-CN"/>
        </w:rPr>
        <w:t>（按工程量清单格式编制）</w:t>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项目名称：北部湾(钦州)国际粮食加工产业园项目大门施工工程 </w:t>
      </w:r>
    </w:p>
    <w:tbl>
      <w:tblPr>
        <w:tblStyle w:val="2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56" w:type="dxa"/>
            <w:vAlign w:val="center"/>
          </w:tcPr>
          <w:p>
            <w:pPr>
              <w:snapToGrid w:val="0"/>
              <w:spacing w:before="120"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内容名称</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文件商务要求</w:t>
            </w: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w:t>
            </w: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6" w:type="dxa"/>
            <w:vAlign w:val="center"/>
          </w:tcPr>
          <w:p>
            <w:pPr>
              <w:widowControl/>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val="0"/>
                <w:color w:val="auto"/>
                <w:szCs w:val="21"/>
                <w:highlight w:val="none"/>
              </w:rPr>
              <w:t>交付使用期</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highlight w:val="none"/>
              </w:rPr>
            </w:pPr>
          </w:p>
        </w:tc>
      </w:tr>
    </w:tbl>
    <w:p>
      <w:pPr>
        <w:pStyle w:val="16"/>
        <w:rPr>
          <w:rFonts w:hint="eastAsia" w:ascii="Times New Roman" w:hAnsi="Times New Roman" w:eastAsia="宋体" w:cs="Times New Roman"/>
          <w:color w:val="auto"/>
          <w:highlight w:val="none"/>
        </w:rPr>
      </w:pP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竞争性磋商</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pPr>
        <w:pStyle w:val="8"/>
        <w:rPr>
          <w:rFonts w:hint="eastAsia" w:ascii="宋体" w:hAnsi="宋体" w:eastAsia="宋体" w:cs="宋体"/>
          <w:color w:val="auto"/>
          <w:kern w:val="0"/>
          <w:sz w:val="24"/>
          <w:szCs w:val="24"/>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项目实施方案</w:t>
      </w:r>
    </w:p>
    <w:p>
      <w:pPr>
        <w:pStyle w:val="8"/>
        <w:rPr>
          <w:rFonts w:hint="default"/>
          <w:b w:val="0"/>
          <w:bCs w:val="0"/>
          <w:color w:val="auto"/>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39"/>
        <w:rPr>
          <w:rFonts w:hint="eastAsia"/>
          <w:color w:val="auto"/>
          <w:highlight w:val="none"/>
          <w:lang w:val="en-US" w:eastAsia="zh-CN"/>
        </w:rPr>
      </w:pPr>
      <w:r>
        <w:rPr>
          <w:rFonts w:hint="eastAsia"/>
          <w:color w:val="auto"/>
          <w:highlight w:val="none"/>
          <w:lang w:val="en-US" w:eastAsia="zh-CN"/>
        </w:rPr>
        <w:t>第七章  拟签订的合同文本</w:t>
      </w:r>
    </w:p>
    <w:p>
      <w:pPr>
        <w:pStyle w:val="13"/>
        <w:spacing w:line="360" w:lineRule="auto"/>
        <w:jc w:val="center"/>
        <w:outlineLvl w:val="0"/>
        <w:rPr>
          <w:rFonts w:hint="eastAsia"/>
          <w:color w:val="auto"/>
          <w:highlight w:val="none"/>
        </w:rPr>
      </w:pPr>
    </w:p>
    <w:p>
      <w:pPr>
        <w:rPr>
          <w:rFonts w:hint="eastAsia"/>
          <w:color w:val="auto"/>
          <w:highlight w:val="none"/>
        </w:rPr>
      </w:pPr>
    </w:p>
    <w:p>
      <w:pPr>
        <w:pStyle w:val="5"/>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北部湾(钦州)国际粮食加工产业园项目大门</w:t>
      </w:r>
    </w:p>
    <w:p>
      <w:pPr>
        <w:pStyle w:val="5"/>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44"/>
          <w:szCs w:val="44"/>
          <w:highlight w:val="none"/>
          <w:lang w:val="en-US" w:eastAsia="zh-CN"/>
        </w:rPr>
        <w:t>施工工程施工合同</w:t>
      </w: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ageBreakBefore w:val="0"/>
        <w:kinsoku/>
        <w:wordWrap/>
        <w:overflowPunct/>
        <w:topLinePunct w:val="0"/>
        <w:autoSpaceDE/>
        <w:autoSpaceDN/>
        <w:bidi w:val="0"/>
        <w:adjustRightInd/>
        <w:spacing w:line="500" w:lineRule="exact"/>
        <w:ind w:firstLine="1334" w:firstLineChars="443"/>
        <w:jc w:val="both"/>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发 包 方：</w:t>
      </w:r>
      <w:r>
        <w:rPr>
          <w:rFonts w:hint="eastAsia" w:ascii="宋体" w:hAnsi="宋体" w:eastAsia="宋体" w:cs="宋体"/>
          <w:b/>
          <w:bCs/>
          <w:color w:val="auto"/>
          <w:sz w:val="30"/>
          <w:szCs w:val="30"/>
          <w:highlight w:val="none"/>
          <w:u w:val="single"/>
          <w:lang w:val="en-US" w:eastAsia="zh-CN"/>
        </w:rPr>
        <w:t>广西钦保国际贸易有限公司</w:t>
      </w:r>
    </w:p>
    <w:p>
      <w:pPr>
        <w:pageBreakBefore w:val="0"/>
        <w:kinsoku/>
        <w:wordWrap/>
        <w:overflowPunct/>
        <w:topLinePunct w:val="0"/>
        <w:autoSpaceDE/>
        <w:autoSpaceDN/>
        <w:bidi w:val="0"/>
        <w:adjustRightInd/>
        <w:spacing w:line="500" w:lineRule="exact"/>
        <w:ind w:firstLine="1334" w:firstLineChars="443"/>
        <w:jc w:val="both"/>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承 包 方：</w:t>
      </w:r>
    </w:p>
    <w:p>
      <w:pPr>
        <w:pageBreakBefore w:val="0"/>
        <w:kinsoku/>
        <w:wordWrap/>
        <w:overflowPunct/>
        <w:topLinePunct w:val="0"/>
        <w:autoSpaceDE/>
        <w:autoSpaceDN/>
        <w:bidi w:val="0"/>
        <w:adjustRightInd/>
        <w:spacing w:line="500" w:lineRule="exact"/>
        <w:ind w:firstLine="1334" w:firstLineChars="443"/>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年    月     日</w:t>
      </w: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发包方（甲方）：</w:t>
      </w:r>
      <w:r>
        <w:rPr>
          <w:rFonts w:hint="eastAsia" w:ascii="宋体" w:hAnsi="宋体" w:eastAsia="宋体" w:cs="宋体"/>
          <w:b/>
          <w:bCs/>
          <w:color w:val="auto"/>
          <w:sz w:val="24"/>
          <w:szCs w:val="24"/>
          <w:highlight w:val="none"/>
          <w:u w:val="single"/>
          <w:lang w:val="en-US" w:eastAsia="zh-CN"/>
        </w:rPr>
        <w:t>广西钦保国际贸易有限公司</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承包方（乙方）：</w:t>
      </w:r>
      <w:r>
        <w:rPr>
          <w:rFonts w:hint="eastAsia" w:ascii="宋体" w:hAnsi="宋体" w:eastAsia="宋体" w:cs="宋体"/>
          <w:b/>
          <w:bCs/>
          <w:color w:val="auto"/>
          <w:sz w:val="24"/>
          <w:szCs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根据《中华人民共和国民法典》、《中华人民共和国建筑法》、《建设工程质量管理条例》及其他有关法律、行政法规的有关规定，遵循平等、自愿、公平及诚实信用的原则，签订本合同。 </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一、工程概况 </w:t>
      </w:r>
    </w:p>
    <w:p>
      <w:pPr>
        <w:pStyle w:val="5"/>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leftChars="200"/>
        <w:jc w:val="both"/>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rPr>
        <w:t>1、工程名称：</w:t>
      </w:r>
      <w:r>
        <w:rPr>
          <w:rFonts w:hint="eastAsia" w:ascii="宋体" w:hAnsi="宋体" w:eastAsia="宋体" w:cs="宋体"/>
          <w:b w:val="0"/>
          <w:color w:val="auto"/>
          <w:sz w:val="24"/>
          <w:szCs w:val="24"/>
          <w:highlight w:val="none"/>
          <w:u w:val="single"/>
          <w:lang w:val="en-US" w:eastAsia="zh-CN"/>
        </w:rPr>
        <w:t>北部湾(钦州)国际粮食加工产业园项目大门施工工程。</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钦州综合保税区。</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r>
        <w:rPr>
          <w:rFonts w:hint="eastAsia" w:ascii="宋体" w:hAnsi="宋体" w:eastAsia="宋体" w:cs="宋体"/>
          <w:b w:val="0"/>
          <w:color w:val="auto"/>
          <w:sz w:val="24"/>
          <w:szCs w:val="24"/>
          <w:highlight w:val="none"/>
          <w:u w:val="single"/>
          <w:lang w:val="en-US" w:eastAsia="zh-CN"/>
        </w:rPr>
        <w:t>产业园项目大门道路、形象墙、智能道闸，具体详情见施工图纸及工程量清单。</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二、工程承包范围 </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val="0"/>
          <w:color w:val="auto"/>
          <w:sz w:val="24"/>
          <w:szCs w:val="24"/>
          <w:highlight w:val="none"/>
          <w:u w:val="single"/>
          <w:lang w:val="en-US" w:eastAsia="zh-CN"/>
        </w:rPr>
        <w:t xml:space="preserve">施工图纸及工程量清单所包含的工程内容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三、合同工期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四、质量标准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质量</w:t>
      </w:r>
      <w:r>
        <w:rPr>
          <w:rFonts w:hint="eastAsia" w:ascii="宋体" w:hAnsi="宋体" w:eastAsia="宋体" w:cs="宋体"/>
          <w:b/>
          <w:color w:val="auto"/>
          <w:sz w:val="24"/>
          <w:szCs w:val="24"/>
          <w:highlight w:val="none"/>
        </w:rPr>
        <w:t>保修期</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六、竣工验收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1、乙方工程竣工质量应达到国家质量检验标准的合格条件。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2、工程竣工，乙方应在竣工验收前 5 天，向甲方提供竣工资料一份。</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3、甲方在工程完工后一周内，组织有关部门进行验收。如甲方未在完工后一周内进行验收，视同验收合格。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签约</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eastAsia="zh-CN"/>
        </w:rPr>
        <w:t>价与合同价格形式</w:t>
      </w:r>
      <w:r>
        <w:rPr>
          <w:rFonts w:hint="eastAsia" w:ascii="宋体" w:hAnsi="宋体" w:eastAsia="宋体" w:cs="宋体"/>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本合同签约</w:t>
      </w:r>
      <w:r>
        <w:rPr>
          <w:rFonts w:hint="eastAsia" w:ascii="宋体" w:hAnsi="宋体" w:eastAsia="宋体" w:cs="宋体"/>
          <w:color w:val="auto"/>
          <w:sz w:val="24"/>
          <w:szCs w:val="24"/>
          <w:highlight w:val="none"/>
          <w:lang w:val="en-US" w:eastAsia="zh-Hans"/>
        </w:rPr>
        <w:t>含税</w:t>
      </w:r>
      <w:r>
        <w:rPr>
          <w:rFonts w:hint="eastAsia" w:ascii="宋体" w:hAnsi="宋体" w:eastAsia="宋体" w:cs="宋体"/>
          <w:color w:val="auto"/>
          <w:sz w:val="24"/>
          <w:szCs w:val="24"/>
          <w:highlight w:val="none"/>
        </w:rPr>
        <w:t>合同价为: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其中，未含税金额为：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%，税金为：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合同履行期间，如遇国家税率调整，合同未履行部分执行国家最新税率。最终结算价以甲方委托有资质的中介机构审定的结果为准。</w:t>
      </w:r>
      <w:r>
        <w:rPr>
          <w:rFonts w:hint="eastAsia" w:ascii="宋体" w:hAnsi="宋体" w:eastAsia="宋体" w:cs="宋体"/>
          <w:color w:val="auto"/>
          <w:sz w:val="24"/>
          <w:szCs w:val="24"/>
          <w:highlight w:val="none"/>
          <w:lang w:val="en-US" w:eastAsia="zh-Hans"/>
        </w:rPr>
        <w:t>该价格包括材料费、管理费、工人食宿费、保险费、交通费、安全文明施工费等一切可预见的费用</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2、合同价格形式：</w:t>
      </w:r>
      <w:r>
        <w:rPr>
          <w:rFonts w:hint="eastAsia" w:ascii="宋体" w:hAnsi="宋体" w:eastAsia="宋体" w:cs="宋体"/>
          <w:color w:val="auto"/>
          <w:sz w:val="24"/>
          <w:szCs w:val="24"/>
          <w:highlight w:val="none"/>
          <w:u w:val="single"/>
          <w:lang w:val="en-US" w:eastAsia="zh-CN"/>
        </w:rPr>
        <w:t>固定总价合同。</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八、付款方式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1、合同签订后，由甲方付给乙方工程合同总价的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%为工程进度款。</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2、乙方完成本合同约定的全部工程后，由甲方组织验收，验收合格后三天内付给乙方合同总价的97%工程款，保留3%结算款作为质保金，保修期满后无息退还。</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、合同外的签证或设计变更工程，工程数量按验收数量为准，单价根据合同清单相同或相似工程计价。若无此相同或相似工程单价，则单价根据相应定额规则和取费标准计取，以此综合单价计量。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甲方每次付款前</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乙方应向甲方开具并送达合法有效且足额的增值税发票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否则</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甲方有权延期付款且无需承担任何责任</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九、双方的责任和义务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1.1甲方负责提供水、电接驳口，负责处理与建筑业主之间的关系。</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1.2甲方应参加本工程的竣工验收。有权利对乙方工程质量、进度、现场安全文明施工进行检查。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2.1、爱护甲方的各种设施，如损坏乙方负责修复或赔偿。负责施工期内，全部建筑材料或其他垃圾清运到指定地点集中堆放，做到现场文明施工。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2.2、安全管理及责任，乙方施工过程中要加强安全生产，采取安全措施，确保施工人员的安全。</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十、设计变更和工期变更</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1、甲、乙双方必须坚持按确认的方案施工，任何一方不得随意变更设计。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2、在施工中，甲方提出对原设计进行重大变更，应向乙方发出书面变更通知。乙方按变更通知进行施工，由此导致的费用增加或减少由甲、乙双方协商解决。</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十一、违约责任及争议的解决</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1、乙方未按本合同约定时间内完成所有施工的，每逾期一天，乙方应向甲方支付工程总价款</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%的违约金，逾期超过</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天的，甲方有权单方全部或者部分解除合同并要求乙方按工程总价款的</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%支付违约金。</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CN"/>
        </w:rPr>
      </w:pPr>
      <w:r>
        <w:rPr>
          <w:rFonts w:hint="eastAsia" w:ascii="宋体" w:hAnsi="宋体" w:eastAsia="宋体" w:cs="宋体"/>
          <w:color w:val="auto"/>
          <w:sz w:val="24"/>
          <w:szCs w:val="24"/>
          <w:highlight w:val="none"/>
        </w:rPr>
        <w:t>2、乙方工程质量不符合合同规定的，应在</w:t>
      </w:r>
      <w:r>
        <w:rPr>
          <w:rFonts w:hint="eastAsia" w:ascii="宋体" w:hAnsi="宋体" w:eastAsia="宋体" w:cs="宋体"/>
          <w:color w:val="auto"/>
          <w:sz w:val="24"/>
          <w:szCs w:val="24"/>
          <w:highlight w:val="none"/>
          <w:lang w:val="en-US" w:eastAsia="zh-Hans"/>
        </w:rPr>
        <w:t>接到甲方的通知后</w:t>
      </w:r>
      <w:r>
        <w:rPr>
          <w:rFonts w:hint="eastAsia" w:ascii="宋体" w:hAnsi="宋体" w:eastAsia="宋体" w:cs="宋体"/>
          <w:color w:val="auto"/>
          <w:sz w:val="24"/>
          <w:szCs w:val="24"/>
          <w:highlight w:val="none"/>
        </w:rPr>
        <w:t>24小时内负责无偿修理或返工，</w:t>
      </w:r>
      <w:r>
        <w:rPr>
          <w:rFonts w:hint="eastAsia" w:ascii="宋体" w:hAnsi="宋体" w:eastAsia="宋体" w:cs="宋体"/>
          <w:color w:val="auto"/>
          <w:sz w:val="24"/>
          <w:szCs w:val="24"/>
          <w:highlight w:val="none"/>
          <w:lang w:val="en-US" w:eastAsia="zh-Hans"/>
        </w:rPr>
        <w:t>工期不顺延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由于修理或返工造成逾期交付的，除按本条款第1条的规定</w:t>
      </w:r>
      <w:r>
        <w:rPr>
          <w:rFonts w:hint="eastAsia" w:ascii="宋体" w:hAnsi="宋体" w:eastAsia="宋体" w:cs="宋体"/>
          <w:color w:val="auto"/>
          <w:sz w:val="24"/>
          <w:szCs w:val="24"/>
          <w:highlight w:val="none"/>
          <w:lang w:val="en-US" w:eastAsia="zh-Hans"/>
        </w:rPr>
        <w:t>承担违约责任</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val="en-US" w:eastAsia="zh-Hans"/>
        </w:rPr>
        <w:t>造成甲方或任何第三方的损失的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还应承担相应法律和经济责任。</w:t>
      </w:r>
      <w:r>
        <w:rPr>
          <w:rFonts w:hint="eastAsia" w:ascii="宋体" w:hAnsi="宋体" w:eastAsia="宋体" w:cs="宋体"/>
          <w:color w:val="auto"/>
          <w:sz w:val="24"/>
          <w:szCs w:val="24"/>
          <w:highlight w:val="none"/>
          <w:lang w:val="en-US" w:eastAsia="zh-Hans"/>
        </w:rPr>
        <w:t>如乙方未按约定时间进行修理或者返工的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甲方有权另行聘请第三方</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由此产生的全部费用由乙方承担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甲方有权直接从质量保证金中扣除</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不足部分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乙方应在</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val="en-US" w:eastAsia="zh-Hans"/>
        </w:rPr>
        <w:t>日内补足</w:t>
      </w:r>
      <w:r>
        <w:rPr>
          <w:rFonts w:hint="eastAsia" w:ascii="宋体" w:hAnsi="宋体" w:eastAsia="宋体" w:cs="宋体"/>
          <w:color w:val="auto"/>
          <w:spacing w:val="22"/>
          <w:sz w:val="24"/>
          <w:szCs w:val="24"/>
          <w:highlight w:val="none"/>
          <w:lang w:eastAsia="zh-CN"/>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Hans"/>
        </w:rPr>
      </w:pP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0"/>
          <w:sz w:val="24"/>
          <w:szCs w:val="24"/>
          <w:highlight w:val="none"/>
          <w:lang w:val="en-US" w:eastAsia="zh-Hans"/>
        </w:rPr>
        <w:t>乙方不得将本合同义务全部或部分转包或分包给任何第三人，否则，甲方有权解除本合同，乙方应退还甲方已支付的全部款项，同时乙方应向甲方支付合同总价款【】%的违约金</w:t>
      </w:r>
      <w:r>
        <w:rPr>
          <w:rFonts w:hint="eastAsia" w:ascii="宋体" w:hAnsi="宋体" w:eastAsia="宋体" w:cs="宋体"/>
          <w:color w:val="auto"/>
          <w:spacing w:val="22"/>
          <w:sz w:val="24"/>
          <w:szCs w:val="24"/>
          <w:highlight w:val="none"/>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4、如甲方接到乙方要求付款的书面通知后满七天内仍未付款，乙方有权要求甲方按银行同期利率每逾期一天支付相应的应付款的利息；</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5、如乙方违反本合同的约定，甲方为维护权益向乙方追偿的一切费用（包括但不限于诉讼费、律师费、保全费、保全保险费、交通费、差旅费、鉴定费等）均由乙方承担。</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6、争议的解决：双方约定，在履行合同过程中产生争议时，任何一方可向工程所在地的人民法院提起诉讼。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十二、合同的生效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1、合同订立地点：广西壮族自治区钦州市。</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甲</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乙</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份。本合同经双方签字</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 xml:space="preserve">盖章后即生效。 </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签订页</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 xml:space="preserve">      承包方（</w:t>
      </w:r>
      <w:r>
        <w:rPr>
          <w:rFonts w:hint="eastAsia" w:ascii="宋体" w:hAnsi="宋体" w:eastAsia="宋体" w:cs="宋体"/>
          <w:color w:val="auto"/>
          <w:sz w:val="24"/>
          <w:szCs w:val="24"/>
          <w:highlight w:val="none"/>
          <w:lang w:val="en-US" w:eastAsia="zh-Hans"/>
        </w:rPr>
        <w:t>乙方</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                 法定代表人（签字或盖章）：</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或委托代理人（签字或盖章）：               或委托代理人（签字或盖章）：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廉政</w:t>
      </w:r>
      <w:r>
        <w:rPr>
          <w:rFonts w:hint="eastAsia" w:ascii="宋体" w:hAnsi="宋体" w:eastAsia="宋体" w:cs="宋体"/>
          <w:b w:val="0"/>
          <w:bCs w:val="0"/>
          <w:color w:val="auto"/>
          <w:sz w:val="24"/>
          <w:szCs w:val="24"/>
          <w:highlight w:val="none"/>
          <w:lang w:val="en-US" w:eastAsia="zh-CN"/>
        </w:rPr>
        <w:t>承诺协议</w:t>
      </w:r>
      <w:r>
        <w:rPr>
          <w:rFonts w:hint="eastAsia" w:ascii="宋体" w:hAnsi="宋体" w:eastAsia="宋体" w:cs="宋体"/>
          <w:b w:val="0"/>
          <w:bCs w:val="0"/>
          <w:color w:val="auto"/>
          <w:sz w:val="24"/>
          <w:szCs w:val="24"/>
          <w:highlight w:val="none"/>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eastAsia="zh-CN"/>
        </w:rPr>
        <w:t>广西钦保国际贸易有限公司</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5"/>
          <w:rFonts w:hint="eastAsia" w:ascii="宋体" w:hAnsi="宋体" w:eastAsia="宋体" w:cs="宋体"/>
          <w:color w:val="auto"/>
          <w:sz w:val="24"/>
          <w:szCs w:val="24"/>
          <w:highlight w:val="none"/>
          <w:lang w:val="en-US" w:eastAsia="zh-CN"/>
        </w:rPr>
        <w:t>zimaokaitoujituan@163.com</w:t>
      </w:r>
      <w:r>
        <w:rPr>
          <w:rStyle w:val="25"/>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《北</w:t>
      </w:r>
      <w:r>
        <w:rPr>
          <w:rFonts w:hint="eastAsia" w:ascii="宋体" w:hAnsi="宋体" w:eastAsia="宋体" w:cs="宋体"/>
          <w:b w:val="0"/>
          <w:bCs/>
          <w:color w:val="auto"/>
          <w:sz w:val="24"/>
          <w:szCs w:val="24"/>
          <w:highlight w:val="none"/>
          <w:lang w:val="en-US" w:eastAsia="zh-CN"/>
        </w:rPr>
        <w:t>北部湾(钦州)国际粮食加工产业园项目大门施工工程</w:t>
      </w:r>
      <w:r>
        <w:rPr>
          <w:rFonts w:hint="eastAsia" w:ascii="宋体" w:hAnsi="宋体" w:eastAsia="宋体" w:cs="宋体"/>
          <w:color w:val="auto"/>
          <w:sz w:val="24"/>
          <w:szCs w:val="24"/>
          <w:highlight w:val="none"/>
          <w:lang w:val="en-US" w:eastAsia="zh-CN"/>
        </w:rPr>
        <w:t>施工合同》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pPr>
        <w:pStyle w:val="8"/>
        <w:rPr>
          <w:rFonts w:hint="default" w:ascii="宋体" w:hAnsi="宋体"/>
          <w:b/>
          <w:bCs/>
          <w:color w:val="auto"/>
          <w:sz w:val="32"/>
          <w:szCs w:val="32"/>
          <w:highlight w:val="none"/>
          <w:lang w:val="en-US" w:eastAsia="zh-CN"/>
        </w:rPr>
      </w:pPr>
    </w:p>
    <w:p>
      <w:pPr>
        <w:rPr>
          <w:rFonts w:hint="default"/>
          <w:color w:val="auto"/>
          <w:highlight w:val="none"/>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MmFmNmRiYjFmZTA4YmE4OWU5MGMwODY0MzY5MjcifQ=="/>
  </w:docVars>
  <w:rsids>
    <w:rsidRoot w:val="00377E77"/>
    <w:rsid w:val="00080E82"/>
    <w:rsid w:val="0023264F"/>
    <w:rsid w:val="00286F24"/>
    <w:rsid w:val="00295BA7"/>
    <w:rsid w:val="0031304A"/>
    <w:rsid w:val="00377E77"/>
    <w:rsid w:val="003B76EC"/>
    <w:rsid w:val="004F4C42"/>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82487"/>
    <w:rsid w:val="033C11D8"/>
    <w:rsid w:val="03475A4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3700BD"/>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8D582D"/>
    <w:rsid w:val="1EF652E1"/>
    <w:rsid w:val="1F0C7865"/>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391DA7"/>
    <w:rsid w:val="237A23D8"/>
    <w:rsid w:val="240B137D"/>
    <w:rsid w:val="24352F85"/>
    <w:rsid w:val="244A3359"/>
    <w:rsid w:val="25031E0F"/>
    <w:rsid w:val="2540519B"/>
    <w:rsid w:val="256A7B23"/>
    <w:rsid w:val="25C71449"/>
    <w:rsid w:val="25F215F0"/>
    <w:rsid w:val="26942D28"/>
    <w:rsid w:val="269770B2"/>
    <w:rsid w:val="26A36451"/>
    <w:rsid w:val="26E266C1"/>
    <w:rsid w:val="27157D02"/>
    <w:rsid w:val="27447C84"/>
    <w:rsid w:val="27870264"/>
    <w:rsid w:val="27E259BA"/>
    <w:rsid w:val="28CD6169"/>
    <w:rsid w:val="28D53673"/>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2654E6"/>
    <w:rsid w:val="313D7A41"/>
    <w:rsid w:val="31737A8A"/>
    <w:rsid w:val="31DE7DDE"/>
    <w:rsid w:val="31EF7C74"/>
    <w:rsid w:val="32235819"/>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1C4FEA"/>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A56762"/>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167E24"/>
    <w:rsid w:val="452A1112"/>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A1F7C"/>
    <w:rsid w:val="47D25D21"/>
    <w:rsid w:val="47EA265E"/>
    <w:rsid w:val="487E3345"/>
    <w:rsid w:val="48953C10"/>
    <w:rsid w:val="48A24101"/>
    <w:rsid w:val="48EE4471"/>
    <w:rsid w:val="48FC638A"/>
    <w:rsid w:val="49007C8C"/>
    <w:rsid w:val="49276F2E"/>
    <w:rsid w:val="493D364F"/>
    <w:rsid w:val="49495117"/>
    <w:rsid w:val="49630D4C"/>
    <w:rsid w:val="4977752B"/>
    <w:rsid w:val="498F28D1"/>
    <w:rsid w:val="49B81958"/>
    <w:rsid w:val="49DF3538"/>
    <w:rsid w:val="4A282C13"/>
    <w:rsid w:val="4A673701"/>
    <w:rsid w:val="4ABA6354"/>
    <w:rsid w:val="4AC62A9D"/>
    <w:rsid w:val="4ADA779D"/>
    <w:rsid w:val="4AE91E7C"/>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24624D"/>
    <w:rsid w:val="4F513D5F"/>
    <w:rsid w:val="4F7312EE"/>
    <w:rsid w:val="4FB43CBE"/>
    <w:rsid w:val="4FDE23A5"/>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FEAE1C"/>
    <w:rsid w:val="5F024A3E"/>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5721E"/>
    <w:rsid w:val="629F008B"/>
    <w:rsid w:val="62C26F2D"/>
    <w:rsid w:val="62E04931"/>
    <w:rsid w:val="631A1C66"/>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7D1E6A"/>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992499"/>
    <w:rsid w:val="7BAF534F"/>
    <w:rsid w:val="7BB33CEF"/>
    <w:rsid w:val="7BFB3417"/>
    <w:rsid w:val="7BFC2507"/>
    <w:rsid w:val="7C1A2DA4"/>
    <w:rsid w:val="7C4B12FE"/>
    <w:rsid w:val="7C9E730A"/>
    <w:rsid w:val="7CBBCA35"/>
    <w:rsid w:val="7D0278A8"/>
    <w:rsid w:val="7D107B6E"/>
    <w:rsid w:val="7D596D6C"/>
    <w:rsid w:val="7D787E00"/>
    <w:rsid w:val="7D9F1826"/>
    <w:rsid w:val="7DAF234C"/>
    <w:rsid w:val="7DBB0DEA"/>
    <w:rsid w:val="7DCA65AC"/>
    <w:rsid w:val="7DE329CE"/>
    <w:rsid w:val="7E3A03D7"/>
    <w:rsid w:val="7E3A13EE"/>
    <w:rsid w:val="7E453A68"/>
    <w:rsid w:val="7E680042"/>
    <w:rsid w:val="7EA741D8"/>
    <w:rsid w:val="7EBB3930"/>
    <w:rsid w:val="7EE94CBB"/>
    <w:rsid w:val="7F2BFCB7"/>
    <w:rsid w:val="7F37016E"/>
    <w:rsid w:val="7F686EE0"/>
    <w:rsid w:val="7F7F802B"/>
    <w:rsid w:val="7FAD7090"/>
    <w:rsid w:val="9FBEB730"/>
    <w:rsid w:val="DAFD08E4"/>
    <w:rsid w:val="DFC7280B"/>
    <w:rsid w:val="FCFE343A"/>
    <w:rsid w:val="FEFFB2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6">
    <w:name w:val="heading 2"/>
    <w:basedOn w:val="1"/>
    <w:next w:val="1"/>
    <w:link w:val="45"/>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7">
    <w:name w:val="heading 3"/>
    <w:basedOn w:val="1"/>
    <w:next w:val="1"/>
    <w:qFormat/>
    <w:uiPriority w:val="99"/>
    <w:pPr>
      <w:keepNext/>
      <w:keepLines/>
      <w:spacing w:line="360" w:lineRule="auto"/>
      <w:outlineLvl w:val="2"/>
    </w:pPr>
    <w:rPr>
      <w:rFonts w:eastAsia="黑体"/>
      <w:b/>
      <w:bCs/>
      <w:sz w:val="32"/>
      <w:szCs w:val="32"/>
      <w:lang w:val="zh-CN"/>
    </w:rPr>
  </w:style>
  <w:style w:type="paragraph" w:styleId="8">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unhideWhenUsed/>
    <w:qFormat/>
    <w:uiPriority w:val="0"/>
    <w:pPr>
      <w:spacing w:before="25" w:beforeLines="0" w:after="25" w:afterLines="0"/>
      <w:jc w:val="left"/>
    </w:pPr>
    <w:rPr>
      <w:rFonts w:hint="default"/>
      <w:spacing w:val="10"/>
      <w:kern w:val="0"/>
      <w:sz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ind w:firstLine="420"/>
    </w:pPr>
    <w:rPr>
      <w:szCs w:val="20"/>
    </w:r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pPr>
      <w:spacing w:after="120"/>
    </w:pPr>
  </w:style>
  <w:style w:type="paragraph" w:styleId="12">
    <w:name w:val="Block Text"/>
    <w:basedOn w:val="1"/>
    <w:qFormat/>
    <w:uiPriority w:val="0"/>
    <w:pPr>
      <w:ind w:left="1440" w:leftChars="700" w:right="700" w:rightChars="700"/>
    </w:pPr>
  </w:style>
  <w:style w:type="paragraph" w:styleId="13">
    <w:name w:val="Plain Text"/>
    <w:basedOn w:val="1"/>
    <w:next w:val="8"/>
    <w:qFormat/>
    <w:uiPriority w:val="0"/>
    <w:rPr>
      <w:rFonts w:ascii="宋体" w:eastAsia="宋体" w:cs="Courier New"/>
      <w:szCs w:val="21"/>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2"/>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1"/>
    <w:next w:val="1"/>
    <w:qFormat/>
    <w:uiPriority w:val="0"/>
    <w:pPr>
      <w:ind w:firstLine="420" w:firstLineChars="100"/>
    </w:pPr>
    <w:rPr>
      <w:rFonts w:ascii="宋体" w:hAnsi="Courier New"/>
      <w:kern w:val="0"/>
      <w:sz w:val="20"/>
      <w:szCs w:val="21"/>
    </w:r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FollowedHyperlink"/>
    <w:basedOn w:val="22"/>
    <w:unhideWhenUsed/>
    <w:qFormat/>
    <w:uiPriority w:val="99"/>
    <w:rPr>
      <w:color w:val="800080"/>
      <w:u w:val="single"/>
    </w:rPr>
  </w:style>
  <w:style w:type="character" w:styleId="25">
    <w:name w:val="Hyperlink"/>
    <w:basedOn w:val="22"/>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5"/>
    <w:qFormat/>
    <w:uiPriority w:val="99"/>
    <w:rPr>
      <w:sz w:val="18"/>
      <w:szCs w:val="18"/>
    </w:rPr>
  </w:style>
  <w:style w:type="character" w:customStyle="1" w:styleId="28">
    <w:name w:val="页脚 字符"/>
    <w:basedOn w:val="22"/>
    <w:link w:val="14"/>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45">
    <w:name w:val="标题 2 Char1"/>
    <w:link w:val="6"/>
    <w:qFormat/>
    <w:uiPriority w:val="9"/>
    <w:rPr>
      <w:rFonts w:ascii="Cambria" w:hAnsi="Cambria" w:eastAsia="宋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14166</Words>
  <Characters>14974</Characters>
  <Lines>1</Lines>
  <Paragraphs>1</Paragraphs>
  <TotalTime>1</TotalTime>
  <ScaleCrop>false</ScaleCrop>
  <LinksUpToDate>false</LinksUpToDate>
  <CharactersWithSpaces>16303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6816</cp:lastModifiedBy>
  <dcterms:modified xsi:type="dcterms:W3CDTF">2023-08-29T02:44:32Z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99C4894746EA4B269E4D49938D07BA78_13</vt:lpwstr>
  </property>
</Properties>
</file>