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p>
    <w:p>
      <w:pPr>
        <w:pStyle w:val="6"/>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竞争性磋商文件</w:t>
      </w:r>
    </w:p>
    <w:p>
      <w:pPr>
        <w:rPr>
          <w:rFonts w:hint="eastAsia" w:ascii="宋体" w:hAnsi="宋体" w:eastAsia="宋体" w:cs="宋体"/>
          <w:b/>
          <w:bCs/>
          <w:sz w:val="36"/>
          <w:szCs w:val="36"/>
          <w:lang w:val="en-US" w:eastAsia="zh-CN"/>
        </w:rPr>
      </w:pPr>
    </w:p>
    <w:p>
      <w:pPr>
        <w:pStyle w:val="6"/>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sz w:val="36"/>
          <w:szCs w:val="36"/>
          <w:u w:val="single"/>
          <w:lang w:val="en-US" w:eastAsia="zh-CN"/>
        </w:rPr>
        <w:t>蚂蚁洋货南宁航洋店租赁场所拆除装修恢复毛坯工程</w:t>
      </w: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广西蚂蚁洋货供应链管理有限公司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2023年6月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9"/>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b/>
          <w:bCs w:val="0"/>
          <w:kern w:val="2"/>
          <w:sz w:val="32"/>
          <w:szCs w:val="32"/>
          <w:u w:val="none"/>
          <w:lang w:val="en-US" w:eastAsia="zh-CN" w:bidi="ar-SA"/>
        </w:rPr>
        <w:t>竞争性磋商</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蚂蚁洋货南宁航洋店租赁场所拆除装修恢复毛坯工程采购</w:t>
      </w:r>
      <w:r>
        <w:rPr>
          <w:rFonts w:hint="eastAsia" w:ascii="宋体" w:hAnsi="宋体" w:eastAsia="宋体" w:cs="宋体"/>
          <w:b w:val="0"/>
          <w:bCs/>
          <w:sz w:val="24"/>
          <w:szCs w:val="24"/>
          <w:u w:val="single"/>
          <w:lang w:val="en-US" w:eastAsia="zh-CN"/>
        </w:rPr>
        <w:t>潜在供应商应在广西自贸区钦州港片区开发投资集团有限责任公司网站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招标文件，并于截止日期</w:t>
      </w:r>
      <w:r>
        <w:rPr>
          <w:rFonts w:hint="eastAsia" w:ascii="宋体" w:hAnsi="宋体" w:eastAsia="宋体" w:cs="宋体"/>
          <w:b w:val="0"/>
          <w:bCs/>
          <w:color w:val="FF0000"/>
          <w:sz w:val="24"/>
          <w:szCs w:val="24"/>
          <w:u w:val="single"/>
          <w:lang w:val="en-US" w:eastAsia="zh-CN"/>
        </w:rPr>
        <w:t>2023年6月26日</w:t>
      </w:r>
      <w:r>
        <w:rPr>
          <w:rFonts w:hint="default" w:ascii="宋体" w:hAnsi="宋体" w:eastAsia="宋体" w:cs="宋体"/>
          <w:b w:val="0"/>
          <w:bCs/>
          <w:color w:val="FF0000"/>
          <w:sz w:val="24"/>
          <w:szCs w:val="24"/>
          <w:u w:val="single"/>
          <w:lang w:eastAsia="zh-CN"/>
        </w:rPr>
        <w:t>17</w:t>
      </w:r>
      <w:r>
        <w:rPr>
          <w:rFonts w:hint="eastAsia" w:ascii="宋体" w:hAnsi="宋体" w:eastAsia="宋体" w:cs="宋体"/>
          <w:b w:val="0"/>
          <w:bCs/>
          <w:color w:val="FF0000"/>
          <w:sz w:val="24"/>
          <w:szCs w:val="24"/>
          <w:u w:val="single"/>
          <w:lang w:val="en-US" w:eastAsia="zh-CN"/>
        </w:rPr>
        <w:t>时</w:t>
      </w:r>
      <w:r>
        <w:rPr>
          <w:rFonts w:hint="default" w:ascii="宋体" w:hAnsi="宋体" w:eastAsia="宋体" w:cs="宋体"/>
          <w:b w:val="0"/>
          <w:bCs/>
          <w:color w:val="FF0000"/>
          <w:sz w:val="24"/>
          <w:szCs w:val="24"/>
          <w:u w:val="single"/>
          <w:lang w:eastAsia="zh-CN"/>
        </w:rPr>
        <w:t>3</w:t>
      </w:r>
      <w:r>
        <w:rPr>
          <w:rFonts w:hint="eastAsia" w:ascii="宋体" w:hAnsi="宋体" w:eastAsia="宋体" w:cs="宋体"/>
          <w:b w:val="0"/>
          <w:bCs/>
          <w:color w:val="FF0000"/>
          <w:sz w:val="24"/>
          <w:szCs w:val="24"/>
          <w:u w:val="single"/>
          <w:lang w:val="en-US" w:eastAsia="zh-CN"/>
        </w:rPr>
        <w:t>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项目名称：蚂蚁洋货南宁航洋店租赁场所拆除装修恢复毛坯工程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eastAsia="宋体"/>
          <w:lang w:val="en-US" w:eastAsia="zh-CN"/>
        </w:rPr>
      </w:pPr>
      <w:r>
        <w:rPr>
          <w:rFonts w:hint="eastAsia" w:ascii="宋体" w:hAnsi="宋体" w:eastAsia="宋体" w:cs="宋体"/>
          <w:b w:val="0"/>
          <w:bCs/>
          <w:sz w:val="24"/>
          <w:szCs w:val="24"/>
          <w:lang w:val="en-US" w:eastAsia="zh-CN"/>
        </w:rPr>
        <w:t>定标方式：综合评分法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预算金额：人民币捌万陆仟玖佰捌拾柒元捌角陆分（￥：</w:t>
      </w:r>
      <w:r>
        <w:rPr>
          <w:rFonts w:hint="eastAsia" w:ascii="Tahoma" w:hAnsi="Tahoma" w:eastAsia="Tahoma" w:cs="Tahoma"/>
          <w:i w:val="0"/>
          <w:iCs w:val="0"/>
          <w:caps w:val="0"/>
          <w:spacing w:val="0"/>
          <w:sz w:val="22"/>
          <w:szCs w:val="22"/>
          <w:shd w:val="clear" w:fill="F2F2F7"/>
        </w:rPr>
        <w:t>86987.86</w:t>
      </w:r>
      <w:r>
        <w:rPr>
          <w:rFonts w:hint="eastAsia" w:ascii="宋体" w:hAnsi="宋体" w:eastAsia="宋体" w:cs="宋体"/>
          <w:b w:val="0"/>
          <w:bCs/>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最高限价：人民币捌万陆仟玖佰捌拾柒元捌角陆分（￥：</w:t>
      </w:r>
      <w:r>
        <w:rPr>
          <w:rFonts w:hint="eastAsia" w:ascii="Tahoma" w:hAnsi="Tahoma" w:eastAsia="Tahoma" w:cs="Tahoma"/>
          <w:i w:val="0"/>
          <w:iCs w:val="0"/>
          <w:caps w:val="0"/>
          <w:spacing w:val="0"/>
          <w:sz w:val="22"/>
          <w:szCs w:val="22"/>
          <w:shd w:val="clear" w:fill="F2F2F7"/>
        </w:rPr>
        <w:t>86987.86</w:t>
      </w:r>
      <w:r>
        <w:rPr>
          <w:rFonts w:hint="eastAsia" w:ascii="宋体" w:hAnsi="宋体" w:eastAsia="宋体" w:cs="宋体"/>
          <w:b w:val="0"/>
          <w:bCs/>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采购需求：500㎡现场装修拆除恢复毛坯工程，如需进一步了解详细内容，详见招标文件“第二章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 w:val="0"/>
          <w:bCs/>
          <w:color w:val="FF0000"/>
          <w:sz w:val="24"/>
          <w:szCs w:val="24"/>
          <w:u w:val="single"/>
          <w:lang w:val="en-US" w:eastAsia="zh-CN"/>
        </w:rPr>
        <w:t xml:space="preserve"> 15天 </w:t>
      </w:r>
      <w:r>
        <w:rPr>
          <w:rFonts w:hint="eastAsia" w:ascii="宋体" w:hAnsi="宋体" w:eastAsia="宋体" w:cs="宋体"/>
          <w:b w:val="0"/>
          <w:bCs/>
          <w:color w:val="FF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lang w:val="en-US" w:eastAsia="zh-CN"/>
        </w:rPr>
      </w:pPr>
      <w:r>
        <w:rPr>
          <w:rFonts w:hint="eastAsia" w:ascii="宋体" w:hAnsi="宋体" w:eastAsia="宋体" w:cs="宋体"/>
          <w:b w:val="0"/>
          <w:bCs/>
          <w:sz w:val="24"/>
          <w:szCs w:val="24"/>
          <w:lang w:val="en-US" w:eastAsia="zh-CN"/>
        </w:rPr>
        <w:t>（8）</w:t>
      </w:r>
      <w:r>
        <w:rPr>
          <w:rFonts w:hint="eastAsia" w:ascii="宋体" w:hAnsi="宋体" w:eastAsia="宋体" w:cs="宋体"/>
          <w:color w:val="auto"/>
          <w:sz w:val="24"/>
          <w:szCs w:val="24"/>
        </w:rPr>
        <w:t>竞标企业需</w:t>
      </w:r>
      <w:r>
        <w:rPr>
          <w:rFonts w:hint="eastAsia" w:ascii="宋体" w:hAnsi="宋体" w:eastAsia="宋体" w:cs="宋体"/>
          <w:color w:val="auto"/>
          <w:sz w:val="24"/>
          <w:szCs w:val="24"/>
          <w:lang w:val="en-US" w:eastAsia="zh-CN"/>
        </w:rPr>
        <w:t>营业执照</w:t>
      </w:r>
      <w:r>
        <w:rPr>
          <w:rFonts w:hint="eastAsia" w:ascii="宋体" w:hAnsi="宋体" w:eastAsia="宋体" w:cs="宋体"/>
          <w:color w:val="auto"/>
          <w:sz w:val="24"/>
          <w:szCs w:val="24"/>
        </w:rPr>
        <w:t>具有</w:t>
      </w:r>
      <w:r>
        <w:rPr>
          <w:rFonts w:hint="eastAsia" w:ascii="宋体" w:hAnsi="宋体" w:eastAsia="宋体" w:cs="宋体"/>
          <w:color w:val="auto"/>
          <w:sz w:val="24"/>
          <w:szCs w:val="24"/>
          <w:lang w:val="en-US" w:eastAsia="zh-CN"/>
        </w:rPr>
        <w:t>三级资质及以上</w:t>
      </w:r>
      <w:r>
        <w:rPr>
          <w:rFonts w:hint="eastAsia" w:ascii="宋体" w:hAnsi="宋体" w:eastAsia="宋体" w:cs="宋体"/>
          <w:color w:val="auto"/>
          <w:sz w:val="24"/>
          <w:szCs w:val="24"/>
        </w:rPr>
        <w:t>、安全生产许可证，施工人员持有相关专业有效上岗证件，特别是特种专业上岗证件。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5.本项目不接受未登记的供应商参加竞标。</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2023年6月1</w:t>
      </w:r>
      <w:r>
        <w:rPr>
          <w:rFonts w:hint="default" w:ascii="宋体" w:hAnsi="宋体" w:eastAsia="宋体" w:cs="宋体"/>
          <w:b w:val="0"/>
          <w:bCs/>
          <w:color w:val="FF0000"/>
          <w:sz w:val="24"/>
          <w:szCs w:val="24"/>
          <w:u w:val="single"/>
          <w:lang w:eastAsia="zh-CN"/>
        </w:rPr>
        <w:t>6</w:t>
      </w:r>
      <w:r>
        <w:rPr>
          <w:rFonts w:hint="eastAsia" w:ascii="宋体" w:hAnsi="宋体" w:eastAsia="宋体" w:cs="宋体"/>
          <w:b w:val="0"/>
          <w:bCs/>
          <w:color w:val="FF0000"/>
          <w:sz w:val="24"/>
          <w:szCs w:val="24"/>
          <w:u w:val="single"/>
          <w:lang w:val="en-US" w:eastAsia="zh-CN"/>
        </w:rPr>
        <w:t>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2023年6月2</w:t>
      </w:r>
      <w:r>
        <w:rPr>
          <w:rFonts w:hint="default" w:ascii="宋体" w:hAnsi="宋体" w:eastAsia="宋体" w:cs="宋体"/>
          <w:b w:val="0"/>
          <w:bCs/>
          <w:color w:val="FF0000"/>
          <w:sz w:val="24"/>
          <w:szCs w:val="24"/>
          <w:u w:val="single"/>
          <w:lang w:eastAsia="zh-CN"/>
        </w:rPr>
        <w:t>6</w:t>
      </w:r>
      <w:r>
        <w:rPr>
          <w:rFonts w:hint="eastAsia" w:ascii="宋体" w:hAnsi="宋体" w:eastAsia="宋体" w:cs="宋体"/>
          <w:b w:val="0"/>
          <w:bCs/>
          <w:color w:val="FF0000"/>
          <w:sz w:val="24"/>
          <w:szCs w:val="24"/>
          <w:u w:val="single"/>
          <w:lang w:val="en-US" w:eastAsia="zh-CN"/>
        </w:rPr>
        <w:t>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3"/>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2023年6月2</w:t>
      </w:r>
      <w:r>
        <w:rPr>
          <w:rFonts w:hint="default" w:ascii="宋体" w:hAnsi="宋体" w:eastAsia="宋体" w:cs="宋体"/>
          <w:b w:val="0"/>
          <w:bCs/>
          <w:color w:val="FF0000"/>
          <w:sz w:val="24"/>
          <w:szCs w:val="24"/>
          <w:u w:val="single"/>
          <w:lang w:eastAsia="zh-CN"/>
        </w:rPr>
        <w:t>6</w:t>
      </w:r>
      <w:r>
        <w:rPr>
          <w:rFonts w:hint="eastAsia" w:ascii="宋体" w:hAnsi="宋体" w:eastAsia="宋体" w:cs="宋体"/>
          <w:b w:val="0"/>
          <w:bCs/>
          <w:color w:val="FF0000"/>
          <w:sz w:val="24"/>
          <w:szCs w:val="24"/>
          <w:u w:val="single"/>
          <w:lang w:val="en-US" w:eastAsia="zh-CN"/>
        </w:rPr>
        <w:t>日15时30分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2023年6月26日</w:t>
      </w:r>
      <w:r>
        <w:rPr>
          <w:rFonts w:hint="default" w:ascii="宋体" w:hAnsi="宋体" w:eastAsia="宋体" w:cs="宋体"/>
          <w:b w:val="0"/>
          <w:bCs/>
          <w:color w:val="FF0000"/>
          <w:sz w:val="24"/>
          <w:szCs w:val="24"/>
          <w:u w:val="single"/>
          <w:lang w:eastAsia="zh-CN"/>
        </w:rPr>
        <w:t>17</w:t>
      </w:r>
      <w:r>
        <w:rPr>
          <w:rFonts w:hint="eastAsia" w:ascii="宋体" w:hAnsi="宋体" w:eastAsia="宋体" w:cs="宋体"/>
          <w:b w:val="0"/>
          <w:bCs/>
          <w:color w:val="FF0000"/>
          <w:sz w:val="24"/>
          <w:szCs w:val="24"/>
          <w:u w:val="single"/>
          <w:lang w:val="en-US" w:eastAsia="zh-CN"/>
        </w:rPr>
        <w:t>时</w:t>
      </w:r>
      <w:r>
        <w:rPr>
          <w:rFonts w:hint="default" w:ascii="宋体" w:hAnsi="宋体" w:eastAsia="宋体" w:cs="宋体"/>
          <w:b w:val="0"/>
          <w:bCs/>
          <w:color w:val="FF0000"/>
          <w:sz w:val="24"/>
          <w:szCs w:val="24"/>
          <w:u w:val="single"/>
          <w:lang w:eastAsia="zh-CN"/>
        </w:rPr>
        <w:t xml:space="preserve"> 3</w:t>
      </w:r>
      <w:r>
        <w:rPr>
          <w:rFonts w:hint="eastAsia" w:ascii="宋体" w:hAnsi="宋体" w:eastAsia="宋体" w:cs="宋体"/>
          <w:b w:val="0"/>
          <w:bCs/>
          <w:color w:val="FF0000"/>
          <w:sz w:val="24"/>
          <w:szCs w:val="24"/>
          <w:u w:val="single"/>
          <w:lang w:val="en-US" w:eastAsia="zh-CN"/>
        </w:rPr>
        <w:t>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逾期送达的或者未送达指定地点的，采购人不予受理。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2023年6月26日</w:t>
      </w:r>
      <w:r>
        <w:rPr>
          <w:rFonts w:hint="default" w:ascii="宋体" w:hAnsi="宋体" w:eastAsia="宋体" w:cs="宋体"/>
          <w:b w:val="0"/>
          <w:bCs/>
          <w:color w:val="FF0000"/>
          <w:sz w:val="24"/>
          <w:szCs w:val="24"/>
          <w:u w:val="single"/>
          <w:lang w:eastAsia="zh-CN"/>
        </w:rPr>
        <w:t>17</w:t>
      </w:r>
      <w:r>
        <w:rPr>
          <w:rFonts w:hint="eastAsia" w:ascii="宋体" w:hAnsi="宋体" w:eastAsia="宋体" w:cs="宋体"/>
          <w:b w:val="0"/>
          <w:bCs/>
          <w:color w:val="FF0000"/>
          <w:sz w:val="24"/>
          <w:szCs w:val="24"/>
          <w:u w:val="single"/>
          <w:lang w:val="en-US" w:eastAsia="zh-CN"/>
        </w:rPr>
        <w:t>时</w:t>
      </w:r>
      <w:r>
        <w:rPr>
          <w:rFonts w:hint="default" w:ascii="宋体" w:hAnsi="宋体" w:eastAsia="宋体" w:cs="宋体"/>
          <w:b w:val="0"/>
          <w:bCs/>
          <w:color w:val="FF0000"/>
          <w:sz w:val="24"/>
          <w:szCs w:val="24"/>
          <w:u w:val="single"/>
          <w:lang w:eastAsia="zh-CN"/>
        </w:rPr>
        <w:t xml:space="preserve"> 30</w:t>
      </w:r>
      <w:r>
        <w:rPr>
          <w:rFonts w:hint="eastAsia" w:ascii="宋体" w:hAnsi="宋体" w:eastAsia="宋体" w:cs="宋体"/>
          <w:b w:val="0"/>
          <w:bCs/>
          <w:color w:val="FF0000"/>
          <w:sz w:val="24"/>
          <w:szCs w:val="24"/>
          <w:u w:val="single"/>
          <w:lang w:val="en-US" w:eastAsia="zh-CN"/>
        </w:rPr>
        <w:t>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5个工作日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广西蚂蚁洋货供应链管理有限公司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广西南宁市青秀区中新路9号九洲国际56楼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w:t>
      </w:r>
      <w:r>
        <w:rPr>
          <w:rFonts w:hint="eastAsia" w:ascii="宋体" w:hAnsi="宋体" w:eastAsia="宋体" w:cs="宋体"/>
          <w:b w:val="0"/>
          <w:bCs/>
          <w:sz w:val="24"/>
          <w:szCs w:val="24"/>
          <w:highlight w:val="none"/>
          <w:lang w:val="en-US" w:eastAsia="zh-CN"/>
        </w:rPr>
        <w:t>方式：</w:t>
      </w:r>
      <w:r>
        <w:rPr>
          <w:rFonts w:hint="eastAsia" w:ascii="宋体" w:hAnsi="宋体" w:eastAsia="宋体" w:cs="宋体"/>
          <w:b w:val="0"/>
          <w:bCs/>
          <w:sz w:val="24"/>
          <w:szCs w:val="24"/>
          <w:highlight w:val="none"/>
          <w:u w:val="single"/>
          <w:lang w:val="en-US" w:eastAsia="zh-CN"/>
        </w:rPr>
        <w:t>19195696252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bookmarkStart w:id="24" w:name="_GoBack"/>
      <w:bookmarkEnd w:id="24"/>
    </w:p>
    <w:p>
      <w:pPr>
        <w:pStyle w:val="39"/>
        <w:rPr>
          <w:rFonts w:hint="eastAsia" w:ascii="宋体" w:hAnsi="宋体" w:eastAsia="宋体" w:cs="宋体"/>
        </w:rPr>
      </w:pPr>
      <w:r>
        <w:rPr>
          <w:rFonts w:hint="eastAsia" w:ascii="宋体" w:hAnsi="宋体" w:eastAsia="宋体" w:cs="宋体"/>
          <w:lang w:val="en-US" w:eastAsia="zh-CN"/>
        </w:rPr>
        <w:t>第二章</w:t>
      </w:r>
      <w:r>
        <w:rPr>
          <w:rFonts w:hint="eastAsia" w:cs="宋体"/>
          <w:lang w:val="en-US" w:eastAsia="zh-CN"/>
        </w:rPr>
        <w:t xml:space="preserve">  </w:t>
      </w:r>
      <w:r>
        <w:rPr>
          <w:rFonts w:hint="eastAsia" w:ascii="宋体" w:hAnsi="宋体" w:eastAsia="宋体" w:cs="宋体"/>
          <w:lang w:val="en-US"/>
        </w:rPr>
        <w:t>采购</w:t>
      </w:r>
      <w:r>
        <w:rPr>
          <w:rFonts w:hint="eastAsia" w:ascii="宋体" w:hAnsi="宋体" w:eastAsia="宋体" w:cs="宋体"/>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tbl>
      <w:tblPr>
        <w:tblStyle w:val="19"/>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项目及商务要求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auto"/>
                <w:szCs w:val="21"/>
                <w:highlight w:val="none"/>
                <w:lang w:val="en-US" w:eastAsia="zh-CN"/>
              </w:rPr>
              <w:t>15天</w:t>
            </w:r>
            <w:r>
              <w:rPr>
                <w:rFonts w:hint="eastAsia" w:ascii="宋体" w:hAnsi="宋体" w:eastAsia="宋体" w:cs="宋体"/>
                <w:bCs/>
                <w:color w:val="auto"/>
                <w:szCs w:val="21"/>
                <w:highlight w:val="none"/>
              </w:rPr>
              <w:t>内完成全部</w:t>
            </w:r>
            <w:r>
              <w:rPr>
                <w:rFonts w:hint="eastAsia" w:ascii="宋体" w:hAnsi="宋体" w:eastAsia="宋体" w:cs="宋体"/>
                <w:bCs/>
                <w:color w:val="auto"/>
                <w:szCs w:val="21"/>
                <w:highlight w:val="none"/>
                <w:lang w:val="en-US" w:eastAsia="zh-CN"/>
              </w:rPr>
              <w:t>清单内容</w:t>
            </w:r>
            <w:r>
              <w:rPr>
                <w:rFonts w:hint="eastAsia" w:ascii="宋体" w:hAnsi="宋体"/>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1.本次提供的报价需涵盖本次施工所需工程量内容；</w:t>
            </w:r>
          </w:p>
          <w:p>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2.涵盖施工工程保险费用；</w:t>
            </w:r>
          </w:p>
          <w:p>
            <w:pPr>
              <w:spacing w:line="360" w:lineRule="auto"/>
              <w:rPr>
                <w:rFonts w:hint="default"/>
                <w:lang w:val="en-US" w:eastAsia="zh-CN"/>
              </w:rPr>
            </w:pPr>
            <w:r>
              <w:rPr>
                <w:rFonts w:hint="eastAsia" w:ascii="宋体" w:hAnsi="宋体" w:eastAsia="宋体" w:cs="宋体"/>
                <w:bCs/>
                <w:color w:val="auto"/>
                <w:szCs w:val="21"/>
                <w:highlight w:val="none"/>
                <w:lang w:val="en-US" w:eastAsia="zh-CN"/>
              </w:rPr>
              <w:t>3.需为含税报价，提供增值税专用发票。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bidi="ar"/>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同施工所在商场、蚂蚁洋货公司、施工方完成三方验收通过为止。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施工要求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adjustRightInd w:val="0"/>
              <w:snapToGrid w:val="0"/>
              <w:jc w:val="left"/>
              <w:textAlignment w:val="center"/>
              <w:rPr>
                <w:rFonts w:hint="eastAsia" w:ascii="字魂36号-正文宋楷" w:hAnsi="字魂36号-正文宋楷" w:eastAsia="字魂36号-正文宋楷"/>
                <w:sz w:val="24"/>
                <w:szCs w:val="24"/>
                <w:lang w:eastAsia="zh-CN"/>
              </w:rPr>
            </w:pPr>
            <w:r>
              <w:rPr>
                <w:rFonts w:hint="eastAsia" w:ascii="字魂36号-正文宋楷" w:hAnsi="字魂36号-正文宋楷" w:eastAsia="字魂36号-正文宋楷"/>
                <w:sz w:val="24"/>
                <w:szCs w:val="24"/>
              </w:rPr>
              <w:t>负责编制施工方案，制定安全、环保措施</w:t>
            </w:r>
            <w:r>
              <w:rPr>
                <w:rFonts w:hint="eastAsia" w:ascii="字魂36号-正文宋楷" w:hAnsi="字魂36号-正文宋楷" w:eastAsia="字魂36号-正文宋楷"/>
                <w:sz w:val="24"/>
                <w:szCs w:val="24"/>
                <w:lang w:eastAsia="zh-CN"/>
              </w:rPr>
              <w:t>；</w:t>
            </w:r>
          </w:p>
          <w:p>
            <w:pPr>
              <w:keepNext w:val="0"/>
              <w:keepLines w:val="0"/>
              <w:widowControl/>
              <w:numPr>
                <w:ilvl w:val="0"/>
                <w:numId w:val="3"/>
              </w:numPr>
              <w:suppressLineNumbers w:val="0"/>
              <w:adjustRightInd w:val="0"/>
              <w:snapToGrid w:val="0"/>
              <w:jc w:val="left"/>
              <w:textAlignment w:val="center"/>
              <w:rPr>
                <w:rFonts w:hint="eastAsia" w:ascii="字魂36号-正文宋楷" w:hAnsi="字魂36号-正文宋楷" w:eastAsia="字魂36号-正文宋楷"/>
                <w:sz w:val="24"/>
                <w:szCs w:val="24"/>
                <w:lang w:eastAsia="zh-CN"/>
              </w:rPr>
            </w:pPr>
            <w:r>
              <w:rPr>
                <w:rFonts w:hint="eastAsia" w:ascii="字魂36号-正文宋楷" w:hAnsi="字魂36号-正文宋楷" w:eastAsia="字魂36号-正文宋楷"/>
                <w:sz w:val="24"/>
                <w:szCs w:val="24"/>
              </w:rPr>
              <w:t>积极配合</w:t>
            </w:r>
            <w:r>
              <w:rPr>
                <w:rFonts w:hint="eastAsia" w:ascii="字魂36号-正文宋楷" w:hAnsi="字魂36号-正文宋楷" w:eastAsia="字魂36号-正文宋楷"/>
                <w:sz w:val="24"/>
                <w:szCs w:val="24"/>
                <w:lang w:val="en-US" w:eastAsia="zh-CN"/>
              </w:rPr>
              <w:t>采购方</w:t>
            </w:r>
            <w:r>
              <w:rPr>
                <w:rFonts w:hint="eastAsia" w:ascii="字魂36号-正文宋楷" w:hAnsi="字魂36号-正文宋楷" w:eastAsia="字魂36号-正文宋楷"/>
                <w:sz w:val="24"/>
                <w:szCs w:val="24"/>
              </w:rPr>
              <w:t>的工作</w:t>
            </w:r>
            <w:r>
              <w:rPr>
                <w:rFonts w:hint="eastAsia" w:ascii="字魂36号-正文宋楷" w:hAnsi="字魂36号-正文宋楷" w:eastAsia="字魂36号-正文宋楷"/>
                <w:sz w:val="24"/>
                <w:szCs w:val="24"/>
                <w:lang w:eastAsia="zh-CN"/>
              </w:rPr>
              <w:t>；</w:t>
            </w:r>
          </w:p>
          <w:p>
            <w:pPr>
              <w:keepNext w:val="0"/>
              <w:keepLines w:val="0"/>
              <w:widowControl/>
              <w:numPr>
                <w:ilvl w:val="0"/>
                <w:numId w:val="3"/>
              </w:numPr>
              <w:suppressLineNumbers w:val="0"/>
              <w:adjustRightInd w:val="0"/>
              <w:snapToGrid w:val="0"/>
              <w:jc w:val="left"/>
              <w:textAlignment w:val="center"/>
              <w:rPr>
                <w:rFonts w:hint="eastAsia" w:ascii="字魂36号-正文宋楷" w:hAnsi="字魂36号-正文宋楷" w:eastAsia="字魂36号-正文宋楷"/>
                <w:sz w:val="24"/>
                <w:szCs w:val="24"/>
              </w:rPr>
            </w:pPr>
            <w:r>
              <w:rPr>
                <w:rFonts w:hint="eastAsia" w:ascii="字魂36号-正文宋楷" w:hAnsi="字魂36号-正文宋楷" w:eastAsia="字魂36号-正文宋楷"/>
                <w:sz w:val="24"/>
                <w:szCs w:val="24"/>
              </w:rPr>
              <w:t>认真贯彻执行国家有关部门对建筑施工提出的各项要求和规定，做到文明施工、安全、按期完成施工任务。</w:t>
            </w:r>
          </w:p>
          <w:p>
            <w:pPr>
              <w:keepNext w:val="0"/>
              <w:keepLines w:val="0"/>
              <w:widowControl/>
              <w:numPr>
                <w:ilvl w:val="0"/>
                <w:numId w:val="3"/>
              </w:numPr>
              <w:suppressLineNumbers w:val="0"/>
              <w:adjustRightInd w:val="0"/>
              <w:snapToGrid w:val="0"/>
              <w:jc w:val="left"/>
              <w:textAlignment w:val="center"/>
              <w:rPr>
                <w:rFonts w:hint="eastAsia" w:ascii="字魂36号-正文宋楷" w:hAnsi="字魂36号-正文宋楷" w:eastAsia="字魂36号-正文宋楷"/>
                <w:sz w:val="24"/>
                <w:szCs w:val="24"/>
              </w:rPr>
            </w:pPr>
            <w:r>
              <w:rPr>
                <w:rFonts w:hint="eastAsia" w:ascii="字魂36号-正文宋楷" w:hAnsi="字魂36号-正文宋楷" w:eastAsia="字魂36号-正文宋楷"/>
                <w:sz w:val="24"/>
                <w:szCs w:val="24"/>
              </w:rPr>
              <w:t>必须严格按照相关法规条文施工作业，注意环保要求：控制噪声，避免不安全因素发生。</w:t>
            </w:r>
          </w:p>
          <w:p>
            <w:pPr>
              <w:keepNext w:val="0"/>
              <w:keepLines w:val="0"/>
              <w:widowControl/>
              <w:numPr>
                <w:ilvl w:val="0"/>
                <w:numId w:val="3"/>
              </w:numPr>
              <w:suppressLineNumbers w:val="0"/>
              <w:adjustRightInd w:val="0"/>
              <w:snapToGrid w:val="0"/>
              <w:jc w:val="left"/>
              <w:textAlignment w:val="center"/>
              <w:rPr>
                <w:rFonts w:hint="eastAsia" w:ascii="字魂36号-正文宋楷" w:hAnsi="字魂36号-正文宋楷" w:eastAsia="字魂36号-正文宋楷"/>
                <w:sz w:val="24"/>
                <w:szCs w:val="24"/>
              </w:rPr>
            </w:pPr>
            <w:r>
              <w:rPr>
                <w:rFonts w:hint="eastAsia" w:ascii="字魂36号-正文宋楷" w:hAnsi="字魂36号-正文宋楷" w:eastAsia="字魂36号-正文宋楷"/>
                <w:sz w:val="24"/>
                <w:szCs w:val="24"/>
              </w:rPr>
              <w:t>负责机械及人员的安全，加强对施工人员的安全教育及防范措施,确保施工中万无一失; 并负责其施工人员的安全保险</w:t>
            </w:r>
            <w:r>
              <w:rPr>
                <w:rFonts w:hint="default" w:ascii="字魂36号-正文宋楷" w:hAnsi="字魂36号-正文宋楷" w:eastAsia="字魂36号-正文宋楷"/>
                <w:sz w:val="24"/>
                <w:szCs w:val="24"/>
              </w:rPr>
              <w:t>；</w:t>
            </w:r>
            <w:r>
              <w:rPr>
                <w:rFonts w:hint="eastAsia" w:ascii="字魂36号-正文宋楷" w:hAnsi="字魂36号-正文宋楷" w:eastAsia="字魂36号-正文宋楷"/>
                <w:sz w:val="24"/>
                <w:szCs w:val="24"/>
                <w:lang w:val="en-US" w:eastAsia="zh-Hans"/>
              </w:rPr>
              <w:t>施工过程中</w:t>
            </w:r>
            <w:r>
              <w:rPr>
                <w:rFonts w:hint="default" w:ascii="字魂36号-正文宋楷" w:hAnsi="字魂36号-正文宋楷" w:eastAsia="字魂36号-正文宋楷"/>
                <w:sz w:val="24"/>
                <w:szCs w:val="24"/>
                <w:lang w:eastAsia="zh-Hans"/>
              </w:rPr>
              <w:t>，</w:t>
            </w:r>
            <w:r>
              <w:rPr>
                <w:rFonts w:hint="eastAsia" w:ascii="字魂36号-正文宋楷" w:hAnsi="字魂36号-正文宋楷" w:eastAsia="字魂36号-正文宋楷"/>
                <w:sz w:val="24"/>
                <w:szCs w:val="24"/>
                <w:lang w:val="en-US" w:eastAsia="zh-Hans"/>
              </w:rPr>
              <w:t>因</w:t>
            </w:r>
            <w:r>
              <w:rPr>
                <w:rFonts w:hint="eastAsia" w:ascii="字魂36号-正文宋楷" w:hAnsi="字魂36号-正文宋楷" w:eastAsia="字魂36号-正文宋楷"/>
                <w:sz w:val="24"/>
                <w:szCs w:val="24"/>
                <w:lang w:val="en-US" w:eastAsia="zh-CN"/>
              </w:rPr>
              <w:t>施工方</w:t>
            </w:r>
            <w:r>
              <w:rPr>
                <w:rFonts w:hint="eastAsia" w:ascii="字魂36号-正文宋楷" w:hAnsi="字魂36号-正文宋楷" w:eastAsia="字魂36号-正文宋楷"/>
                <w:sz w:val="24"/>
                <w:szCs w:val="24"/>
                <w:lang w:val="en-US" w:eastAsia="zh-Hans"/>
              </w:rPr>
              <w:t>施工产生的任何人员</w:t>
            </w:r>
            <w:r>
              <w:rPr>
                <w:rFonts w:hint="default" w:ascii="字魂36号-正文宋楷" w:hAnsi="字魂36号-正文宋楷" w:eastAsia="字魂36号-正文宋楷"/>
                <w:sz w:val="24"/>
                <w:szCs w:val="24"/>
                <w:lang w:eastAsia="zh-Hans"/>
              </w:rPr>
              <w:t>、</w:t>
            </w:r>
            <w:r>
              <w:rPr>
                <w:rFonts w:hint="eastAsia" w:ascii="字魂36号-正文宋楷" w:hAnsi="字魂36号-正文宋楷" w:eastAsia="字魂36号-正文宋楷"/>
                <w:sz w:val="24"/>
                <w:szCs w:val="24"/>
                <w:lang w:val="en-US" w:eastAsia="zh-Hans"/>
              </w:rPr>
              <w:t>财产损害</w:t>
            </w:r>
            <w:r>
              <w:rPr>
                <w:rFonts w:hint="default" w:ascii="字魂36号-正文宋楷" w:hAnsi="字魂36号-正文宋楷" w:eastAsia="字魂36号-正文宋楷"/>
                <w:sz w:val="24"/>
                <w:szCs w:val="24"/>
                <w:lang w:eastAsia="zh-Hans"/>
              </w:rPr>
              <w:t>，</w:t>
            </w:r>
            <w:r>
              <w:rPr>
                <w:rFonts w:hint="eastAsia" w:ascii="字魂36号-正文宋楷" w:hAnsi="字魂36号-正文宋楷" w:eastAsia="字魂36号-正文宋楷"/>
                <w:sz w:val="24"/>
                <w:szCs w:val="24"/>
                <w:lang w:val="en-US" w:eastAsia="zh-Hans"/>
              </w:rPr>
              <w:t>均由</w:t>
            </w:r>
            <w:r>
              <w:rPr>
                <w:rFonts w:hint="eastAsia" w:ascii="字魂36号-正文宋楷" w:hAnsi="字魂36号-正文宋楷" w:eastAsia="字魂36号-正文宋楷"/>
                <w:sz w:val="24"/>
                <w:szCs w:val="24"/>
                <w:lang w:val="en-US" w:eastAsia="zh-CN"/>
              </w:rPr>
              <w:t>施工</w:t>
            </w:r>
            <w:r>
              <w:rPr>
                <w:rFonts w:hint="eastAsia" w:ascii="字魂36号-正文宋楷" w:hAnsi="字魂36号-正文宋楷" w:eastAsia="字魂36号-正文宋楷"/>
                <w:sz w:val="24"/>
                <w:szCs w:val="24"/>
                <w:lang w:val="en-US" w:eastAsia="zh-Hans"/>
              </w:rPr>
              <w:t>方承担全部赔偿责任</w:t>
            </w:r>
            <w:r>
              <w:rPr>
                <w:rFonts w:hint="default" w:ascii="字魂36号-正文宋楷" w:hAnsi="字魂36号-正文宋楷" w:eastAsia="字魂36号-正文宋楷"/>
                <w:sz w:val="24"/>
                <w:szCs w:val="24"/>
                <w:lang w:eastAsia="zh-Hans"/>
              </w:rPr>
              <w:t>，</w:t>
            </w:r>
            <w:r>
              <w:rPr>
                <w:rFonts w:hint="eastAsia" w:ascii="字魂36号-正文宋楷" w:hAnsi="字魂36号-正文宋楷" w:eastAsia="字魂36号-正文宋楷"/>
                <w:sz w:val="24"/>
                <w:szCs w:val="24"/>
                <w:lang w:val="en-US" w:eastAsia="zh-Hans"/>
              </w:rPr>
              <w:t>与</w:t>
            </w:r>
            <w:r>
              <w:rPr>
                <w:rFonts w:hint="eastAsia" w:ascii="字魂36号-正文宋楷" w:hAnsi="字魂36号-正文宋楷" w:eastAsia="字魂36号-正文宋楷"/>
                <w:sz w:val="24"/>
                <w:szCs w:val="24"/>
                <w:lang w:val="en-US" w:eastAsia="zh-CN"/>
              </w:rPr>
              <w:t>采购方</w:t>
            </w:r>
            <w:r>
              <w:rPr>
                <w:rFonts w:hint="eastAsia" w:ascii="字魂36号-正文宋楷" w:hAnsi="字魂36号-正文宋楷" w:eastAsia="字魂36号-正文宋楷"/>
                <w:sz w:val="24"/>
                <w:szCs w:val="24"/>
                <w:lang w:val="en-US" w:eastAsia="zh-Hans"/>
              </w:rPr>
              <w:t>无关</w:t>
            </w:r>
            <w:r>
              <w:rPr>
                <w:rFonts w:hint="eastAsia" w:ascii="字魂36号-正文宋楷" w:hAnsi="字魂36号-正文宋楷" w:eastAsia="字魂36号-正文宋楷"/>
                <w:sz w:val="24"/>
                <w:szCs w:val="24"/>
              </w:rPr>
              <w:t>。</w:t>
            </w:r>
          </w:p>
          <w:p>
            <w:pPr>
              <w:keepNext w:val="0"/>
              <w:keepLines w:val="0"/>
              <w:widowControl/>
              <w:numPr>
                <w:ilvl w:val="0"/>
                <w:numId w:val="3"/>
              </w:numPr>
              <w:suppressLineNumbers w:val="0"/>
              <w:adjustRightInd w:val="0"/>
              <w:snapToGrid w:val="0"/>
              <w:jc w:val="left"/>
              <w:textAlignment w:val="center"/>
              <w:rPr>
                <w:rFonts w:hint="eastAsia" w:ascii="字魂36号-正文宋楷" w:hAnsi="字魂36号-正文宋楷" w:eastAsia="字魂36号-正文宋楷"/>
                <w:sz w:val="24"/>
                <w:szCs w:val="24"/>
                <w:lang w:eastAsia="zh-CN"/>
              </w:rPr>
            </w:pPr>
            <w:r>
              <w:rPr>
                <w:rFonts w:hint="eastAsia" w:ascii="字魂36号-正文宋楷" w:hAnsi="字魂36号-正文宋楷" w:eastAsia="字魂36号-正文宋楷"/>
                <w:sz w:val="24"/>
                <w:szCs w:val="24"/>
              </w:rPr>
              <w:t>服从</w:t>
            </w:r>
            <w:r>
              <w:rPr>
                <w:rFonts w:hint="eastAsia" w:ascii="字魂36号-正文宋楷" w:hAnsi="字魂36号-正文宋楷" w:eastAsia="字魂36号-正文宋楷"/>
                <w:sz w:val="24"/>
                <w:szCs w:val="24"/>
                <w:lang w:val="en-US" w:eastAsia="zh-CN"/>
              </w:rPr>
              <w:t>采购方</w:t>
            </w:r>
            <w:r>
              <w:rPr>
                <w:rFonts w:hint="eastAsia" w:ascii="字魂36号-正文宋楷" w:hAnsi="字魂36号-正文宋楷" w:eastAsia="字魂36号-正文宋楷"/>
                <w:sz w:val="24"/>
                <w:szCs w:val="24"/>
                <w:lang w:val="en-US" w:eastAsia="zh-Hans"/>
              </w:rPr>
              <w:t>及商场</w:t>
            </w:r>
            <w:r>
              <w:rPr>
                <w:rFonts w:hint="eastAsia" w:ascii="字魂36号-正文宋楷" w:hAnsi="字魂36号-正文宋楷" w:eastAsia="字魂36号-正文宋楷"/>
                <w:sz w:val="24"/>
                <w:szCs w:val="24"/>
              </w:rPr>
              <w:t>现场管理人员的指挥，尊重</w:t>
            </w:r>
            <w:r>
              <w:rPr>
                <w:rFonts w:hint="eastAsia" w:ascii="字魂36号-正文宋楷" w:hAnsi="字魂36号-正文宋楷" w:eastAsia="字魂36号-正文宋楷"/>
                <w:sz w:val="24"/>
                <w:szCs w:val="24"/>
                <w:lang w:val="en-US" w:eastAsia="zh-CN"/>
              </w:rPr>
              <w:t>采购方</w:t>
            </w:r>
            <w:r>
              <w:rPr>
                <w:rFonts w:hint="eastAsia" w:ascii="字魂36号-正文宋楷" w:hAnsi="字魂36号-正文宋楷" w:eastAsia="字魂36号-正文宋楷"/>
                <w:sz w:val="24"/>
                <w:szCs w:val="24"/>
              </w:rPr>
              <w:t>的管理制度。</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4"/>
                <w:szCs w:val="22"/>
                <w:highlight w:val="none"/>
                <w:lang w:val="en-US" w:eastAsia="zh-CN" w:bidi="ar"/>
              </w:rPr>
              <w:t>完成三方验收通过后一次性付清款项。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2"/>
        <w:rPr>
          <w:rFonts w:hint="eastAsia"/>
          <w:lang w:val="en-US" w:eastAsia="zh-CN"/>
        </w:rPr>
      </w:pPr>
    </w:p>
    <w:p>
      <w:pPr>
        <w:pStyle w:val="39"/>
        <w:rPr>
          <w:rFonts w:hint="eastAsia"/>
          <w:lang w:val="en-US" w:eastAsia="zh-CN"/>
        </w:rPr>
      </w:pPr>
      <w:r>
        <w:rPr>
          <w:rFonts w:hint="eastAsia"/>
          <w:lang w:val="en-US" w:eastAsia="zh-CN"/>
        </w:rPr>
        <w:t>第三章  供应商须知</w:t>
      </w:r>
    </w:p>
    <w:p>
      <w:pPr>
        <w:pStyle w:val="40"/>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vAlign w:val="center"/>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vAlign w:val="top"/>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vAlign w:val="center"/>
          </w:tcPr>
          <w:p>
            <w:pPr>
              <w:pStyle w:val="12"/>
              <w:spacing w:line="360" w:lineRule="exact"/>
              <w:rPr>
                <w:rFonts w:hint="eastAsia" w:ascii="宋体" w:hAnsi="宋体" w:eastAsia="宋体" w:cs="宋体"/>
                <w:lang w:val="en-US" w:eastAsia="zh-CN"/>
              </w:rPr>
            </w:pPr>
            <w:r>
              <w:rPr>
                <w:rFonts w:hint="eastAsia" w:ascii="宋体" w:hAnsi="宋体" w:eastAsia="宋体" w:cs="宋体"/>
              </w:rPr>
              <w:t>采购人：</w:t>
            </w:r>
            <w:r>
              <w:rPr>
                <w:rFonts w:hint="eastAsia" w:hAnsi="宋体" w:cs="宋体"/>
                <w:lang w:val="en-US" w:eastAsia="zh-CN"/>
              </w:rPr>
              <w:t>广西蚂蚁洋货供应链管理有限公司</w:t>
            </w:r>
          </w:p>
          <w:p>
            <w:pPr>
              <w:pStyle w:val="12"/>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欧盛婷</w:t>
            </w:r>
          </w:p>
          <w:p>
            <w:pPr>
              <w:pStyle w:val="12"/>
              <w:spacing w:line="360" w:lineRule="exact"/>
              <w:rPr>
                <w:rFonts w:hint="default" w:ascii="宋体" w:hAnsi="宋体" w:eastAsia="宋体" w:cs="宋体"/>
                <w:lang w:val="en-US" w:eastAsia="zh-CN"/>
              </w:rPr>
            </w:pPr>
            <w:r>
              <w:rPr>
                <w:rFonts w:hint="eastAsia" w:ascii="宋体" w:hAnsi="宋体" w:eastAsia="宋体" w:cs="宋体"/>
              </w:rPr>
              <w:t>电话：</w:t>
            </w:r>
            <w:r>
              <w:rPr>
                <w:rFonts w:hint="eastAsia" w:hAnsi="宋体" w:cs="宋体"/>
                <w:lang w:val="en-US" w:eastAsia="zh-CN"/>
              </w:rPr>
              <w:t>19195696252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1.2</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vAlign w:val="center"/>
          </w:tcPr>
          <w:p>
            <w:pPr>
              <w:pStyle w:val="12"/>
              <w:spacing w:line="360" w:lineRule="exact"/>
              <w:rPr>
                <w:rFonts w:hint="eastAsia" w:ascii="宋体" w:hAnsi="宋体" w:eastAsia="宋体" w:cs="宋体"/>
                <w:szCs w:val="21"/>
              </w:rPr>
            </w:pPr>
            <w:r>
              <w:rPr>
                <w:rFonts w:hint="eastAsia" w:ascii="宋体" w:hAnsi="宋体" w:eastAsia="宋体" w:cs="宋体"/>
                <w:b w:val="0"/>
                <w:bCs/>
                <w:sz w:val="24"/>
                <w:szCs w:val="24"/>
                <w:lang w:val="en-US" w:eastAsia="zh-CN"/>
              </w:rPr>
              <w:t>蚂蚁洋货南宁航洋店租赁场所拆除装修恢复毛坯工程采购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采购预算</w:t>
            </w:r>
          </w:p>
        </w:tc>
        <w:tc>
          <w:tcPr>
            <w:tcW w:w="641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rPr>
            </w:pPr>
            <w:r>
              <w:rPr>
                <w:rFonts w:hint="eastAsia" w:ascii="宋体" w:hAnsi="宋体" w:eastAsia="宋体" w:cs="宋体"/>
                <w:b w:val="0"/>
                <w:bCs/>
                <w:sz w:val="24"/>
                <w:szCs w:val="24"/>
                <w:lang w:val="en-US" w:eastAsia="zh-CN"/>
              </w:rPr>
              <w:t>人民币玖万捌仟柒佰叁拾壹元伍角陆分（￥：</w:t>
            </w:r>
            <w:r>
              <w:rPr>
                <w:rFonts w:hint="eastAsia" w:ascii="Tahoma" w:hAnsi="Tahoma" w:eastAsia="Tahoma" w:cs="Tahoma"/>
                <w:i w:val="0"/>
                <w:iCs w:val="0"/>
                <w:caps w:val="0"/>
                <w:spacing w:val="0"/>
                <w:sz w:val="22"/>
                <w:szCs w:val="22"/>
                <w:shd w:val="clear" w:fill="F2F2F7"/>
              </w:rPr>
              <w:t>86987.86</w:t>
            </w:r>
            <w:r>
              <w:rPr>
                <w:rFonts w:hint="eastAsia" w:ascii="宋体" w:hAnsi="宋体" w:eastAsia="宋体" w:cs="宋体"/>
                <w:b w:val="0"/>
                <w:bCs/>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4</w:t>
            </w:r>
          </w:p>
        </w:tc>
        <w:tc>
          <w:tcPr>
            <w:tcW w:w="1711" w:type="dxa"/>
            <w:vAlign w:val="center"/>
          </w:tcPr>
          <w:p>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b w:val="0"/>
                <w:bCs/>
                <w:sz w:val="24"/>
                <w:szCs w:val="24"/>
                <w:lang w:val="en-US" w:eastAsia="zh-CN"/>
              </w:rPr>
              <w:t>人民币玖万捌仟柒佰叁拾壹元伍角陆分（￥：</w:t>
            </w:r>
            <w:r>
              <w:rPr>
                <w:rFonts w:hint="eastAsia" w:ascii="Tahoma" w:hAnsi="Tahoma" w:eastAsia="Tahoma" w:cs="Tahoma"/>
                <w:i w:val="0"/>
                <w:iCs w:val="0"/>
                <w:caps w:val="0"/>
                <w:spacing w:val="0"/>
                <w:sz w:val="22"/>
                <w:szCs w:val="22"/>
                <w:shd w:val="clear" w:fill="F2F2F7"/>
              </w:rPr>
              <w:t>86987.86</w:t>
            </w:r>
            <w:r>
              <w:rPr>
                <w:rFonts w:hint="eastAsia" w:ascii="宋体" w:hAnsi="宋体" w:eastAsia="宋体" w:cs="宋体"/>
                <w:b w:val="0"/>
                <w:bCs/>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1711" w:type="dxa"/>
            <w:vAlign w:val="center"/>
          </w:tcPr>
          <w:p>
            <w:pPr>
              <w:pStyle w:val="12"/>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vAlign w:val="center"/>
          </w:tcPr>
          <w:p>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711" w:type="dxa"/>
            <w:vAlign w:val="center"/>
          </w:tcPr>
          <w:p>
            <w:pPr>
              <w:pStyle w:val="12"/>
              <w:spacing w:line="360" w:lineRule="exact"/>
              <w:jc w:val="center"/>
              <w:rPr>
                <w:rFonts w:hint="eastAsia" w:ascii="宋体" w:hAnsi="宋体" w:eastAsia="宋体" w:cs="宋体"/>
              </w:rPr>
            </w:pPr>
            <w:r>
              <w:rPr>
                <w:rFonts w:hint="eastAsia" w:hAnsi="宋体" w:cs="宋体"/>
                <w:szCs w:val="21"/>
                <w:lang w:eastAsia="zh-CN"/>
              </w:rPr>
              <w:t>招标</w:t>
            </w:r>
            <w:r>
              <w:rPr>
                <w:rFonts w:hint="eastAsia" w:ascii="宋体" w:hAnsi="宋体" w:eastAsia="宋体" w:cs="宋体"/>
                <w:szCs w:val="21"/>
              </w:rPr>
              <w:t>文件的获取</w:t>
            </w:r>
          </w:p>
        </w:tc>
        <w:tc>
          <w:tcPr>
            <w:tcW w:w="6418" w:type="dxa"/>
            <w:vAlign w:val="center"/>
          </w:tcPr>
          <w:p>
            <w:pPr>
              <w:pStyle w:val="12"/>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23"/>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711" w:type="dxa"/>
            <w:vAlign w:val="center"/>
          </w:tcPr>
          <w:p>
            <w:pPr>
              <w:pStyle w:val="12"/>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vAlign w:val="center"/>
          </w:tcPr>
          <w:p>
            <w:pPr>
              <w:pStyle w:val="12"/>
              <w:spacing w:line="360" w:lineRule="exact"/>
              <w:rPr>
                <w:rFonts w:hint="eastAsia" w:ascii="宋体" w:hAnsi="宋体" w:eastAsia="宋体" w:cs="宋体"/>
                <w:spacing w:val="6"/>
                <w:kern w:val="48"/>
              </w:rPr>
            </w:pPr>
            <w:r>
              <w:rPr>
                <w:rFonts w:hint="eastAsia" w:ascii="宋体" w:hAnsi="宋体" w:eastAsia="宋体" w:cs="宋体"/>
                <w:spacing w:val="6"/>
                <w:kern w:val="48"/>
              </w:rPr>
              <w:t>1.供应商应当具备下列条件：</w:t>
            </w:r>
          </w:p>
          <w:p>
            <w:pPr>
              <w:pStyle w:val="12"/>
              <w:spacing w:line="360" w:lineRule="exact"/>
              <w:rPr>
                <w:rFonts w:hint="eastAsia" w:ascii="宋体" w:hAnsi="宋体" w:eastAsia="宋体" w:cs="宋体"/>
                <w:spacing w:val="6"/>
                <w:kern w:val="48"/>
              </w:rPr>
            </w:pPr>
            <w:r>
              <w:rPr>
                <w:rFonts w:hint="eastAsia" w:ascii="宋体" w:hAnsi="宋体" w:eastAsia="宋体" w:cs="宋体"/>
                <w:spacing w:val="6"/>
                <w:kern w:val="48"/>
              </w:rPr>
              <w:t>（1）国内注册（指按国家有关规定要求注册），依法能提供本次采购货物、工程和服务的供应商；</w:t>
            </w:r>
          </w:p>
          <w:p>
            <w:pPr>
              <w:pStyle w:val="12"/>
              <w:spacing w:line="360" w:lineRule="exact"/>
              <w:rPr>
                <w:rFonts w:hint="eastAsia" w:ascii="宋体" w:hAnsi="宋体" w:eastAsia="宋体" w:cs="宋体"/>
                <w:spacing w:val="6"/>
                <w:kern w:val="48"/>
              </w:rPr>
            </w:pPr>
            <w:r>
              <w:rPr>
                <w:rFonts w:hint="eastAsia" w:ascii="宋体" w:hAnsi="宋体" w:eastAsia="宋体" w:cs="宋体"/>
                <w:spacing w:val="6"/>
                <w:kern w:val="48"/>
              </w:rPr>
              <w:t>（2）具有独立承担民事责任的能力；</w:t>
            </w:r>
          </w:p>
          <w:p>
            <w:pPr>
              <w:pStyle w:val="12"/>
              <w:spacing w:line="360" w:lineRule="exact"/>
              <w:rPr>
                <w:rFonts w:hint="eastAsia" w:ascii="宋体" w:hAnsi="宋体" w:eastAsia="宋体" w:cs="宋体"/>
                <w:spacing w:val="6"/>
                <w:kern w:val="48"/>
              </w:rPr>
            </w:pPr>
            <w:r>
              <w:rPr>
                <w:rFonts w:hint="eastAsia" w:ascii="宋体" w:hAnsi="宋体" w:eastAsia="宋体" w:cs="宋体"/>
                <w:spacing w:val="6"/>
                <w:kern w:val="48"/>
              </w:rPr>
              <w:t>（3）具有良好的商业信誉和健全的财务会计制度；</w:t>
            </w:r>
          </w:p>
          <w:p>
            <w:pPr>
              <w:pStyle w:val="12"/>
              <w:spacing w:line="360" w:lineRule="exact"/>
              <w:rPr>
                <w:rFonts w:hint="eastAsia" w:ascii="宋体" w:hAnsi="宋体" w:eastAsia="宋体" w:cs="宋体"/>
                <w:spacing w:val="6"/>
                <w:kern w:val="48"/>
              </w:rPr>
            </w:pPr>
            <w:r>
              <w:rPr>
                <w:rFonts w:hint="eastAsia" w:ascii="宋体" w:hAnsi="宋体" w:eastAsia="宋体" w:cs="宋体"/>
                <w:spacing w:val="6"/>
                <w:kern w:val="48"/>
              </w:rPr>
              <w:t>（4）具有履行合同所必需的设备和专业技术能力；</w:t>
            </w:r>
          </w:p>
          <w:p>
            <w:pPr>
              <w:pStyle w:val="12"/>
              <w:spacing w:line="360" w:lineRule="exact"/>
              <w:rPr>
                <w:rFonts w:hint="eastAsia" w:ascii="宋体" w:hAnsi="宋体" w:eastAsia="宋体" w:cs="宋体"/>
                <w:spacing w:val="6"/>
                <w:kern w:val="48"/>
              </w:rPr>
            </w:pPr>
            <w:r>
              <w:rPr>
                <w:rFonts w:hint="eastAsia" w:ascii="宋体" w:hAnsi="宋体" w:eastAsia="宋体" w:cs="宋体"/>
                <w:spacing w:val="6"/>
                <w:kern w:val="48"/>
              </w:rPr>
              <w:t>（5）有依法缴纳税收和社会保障资金的良好记录；</w:t>
            </w:r>
          </w:p>
          <w:p>
            <w:pPr>
              <w:pStyle w:val="12"/>
              <w:spacing w:line="360" w:lineRule="exact"/>
              <w:rPr>
                <w:rFonts w:hint="eastAsia" w:ascii="宋体" w:hAnsi="宋体" w:eastAsia="宋体" w:cs="宋体"/>
                <w:spacing w:val="6"/>
                <w:kern w:val="48"/>
              </w:rPr>
            </w:pPr>
            <w:r>
              <w:rPr>
                <w:rFonts w:hint="eastAsia" w:ascii="宋体" w:hAnsi="宋体" w:eastAsia="宋体" w:cs="宋体"/>
                <w:spacing w:val="6"/>
                <w:kern w:val="48"/>
              </w:rPr>
              <w:t>（6）参加采购活动前三年内，在经营活动中没有重大违法记录；</w:t>
            </w:r>
          </w:p>
          <w:p>
            <w:pPr>
              <w:pStyle w:val="12"/>
              <w:spacing w:line="360" w:lineRule="exact"/>
              <w:rPr>
                <w:rFonts w:hint="eastAsia" w:ascii="宋体" w:hAnsi="宋体" w:eastAsia="宋体" w:cs="宋体"/>
                <w:spacing w:val="6"/>
                <w:kern w:val="48"/>
              </w:rPr>
            </w:pPr>
            <w:r>
              <w:rPr>
                <w:rFonts w:hint="eastAsia" w:ascii="宋体" w:hAnsi="宋体" w:eastAsia="宋体" w:cs="宋体"/>
                <w:spacing w:val="6"/>
                <w:kern w:val="48"/>
              </w:rPr>
              <w:t>（7）法律、行政法规规定的其他条件。</w:t>
            </w:r>
          </w:p>
          <w:p>
            <w:pPr>
              <w:pStyle w:val="12"/>
              <w:spacing w:line="360" w:lineRule="exact"/>
              <w:rPr>
                <w:rFonts w:hint="eastAsia" w:ascii="宋体" w:hAnsi="宋体" w:eastAsia="宋体" w:cs="宋体"/>
                <w:spacing w:val="6"/>
                <w:kern w:val="48"/>
              </w:rPr>
            </w:pPr>
            <w:r>
              <w:rPr>
                <w:rFonts w:hint="eastAsia" w:ascii="宋体" w:hAnsi="宋体" w:eastAsia="宋体" w:cs="宋体"/>
                <w:spacing w:val="6"/>
                <w:kern w:val="48"/>
              </w:rPr>
              <w:t>（8）竞标企业需</w:t>
            </w:r>
            <w:r>
              <w:rPr>
                <w:rFonts w:hint="default" w:ascii="宋体" w:hAnsi="宋体" w:eastAsia="宋体" w:cs="宋体"/>
                <w:spacing w:val="6"/>
                <w:kern w:val="48"/>
              </w:rPr>
              <w:t>具有效的</w:t>
            </w:r>
            <w:r>
              <w:rPr>
                <w:rFonts w:hint="eastAsia" w:ascii="宋体" w:hAnsi="宋体" w:eastAsia="宋体" w:cs="宋体"/>
                <w:spacing w:val="6"/>
                <w:kern w:val="48"/>
              </w:rPr>
              <w:t>营业执照</w:t>
            </w:r>
            <w:r>
              <w:rPr>
                <w:rFonts w:hint="default" w:ascii="宋体" w:hAnsi="宋体" w:eastAsia="宋体" w:cs="宋体"/>
                <w:spacing w:val="6"/>
                <w:kern w:val="48"/>
              </w:rPr>
              <w:t>、建筑</w:t>
            </w:r>
            <w:r>
              <w:rPr>
                <w:rFonts w:hint="eastAsia" w:ascii="宋体" w:hAnsi="宋体" w:eastAsia="宋体" w:cs="宋体"/>
                <w:spacing w:val="6"/>
                <w:kern w:val="48"/>
                <w:lang w:val="en-US" w:eastAsia="zh-CN"/>
              </w:rPr>
              <w:t>三级及以上资质</w:t>
            </w:r>
            <w:r>
              <w:rPr>
                <w:rFonts w:hint="eastAsia" w:ascii="宋体" w:hAnsi="宋体" w:eastAsia="宋体" w:cs="宋体"/>
                <w:spacing w:val="6"/>
                <w:kern w:val="48"/>
              </w:rPr>
              <w:t>、安全生产许可证，施工人员持有相关专业有效上岗证件，特别是特种专业上岗证件。</w:t>
            </w:r>
          </w:p>
          <w:p>
            <w:pPr>
              <w:pStyle w:val="12"/>
              <w:spacing w:line="360" w:lineRule="exact"/>
              <w:rPr>
                <w:rFonts w:hint="eastAsia" w:ascii="宋体" w:hAnsi="宋体" w:eastAsia="宋体" w:cs="宋体"/>
                <w:spacing w:val="6"/>
                <w:kern w:val="48"/>
              </w:rPr>
            </w:pPr>
            <w:r>
              <w:rPr>
                <w:rFonts w:hint="eastAsia" w:ascii="宋体" w:hAnsi="宋体" w:eastAsia="宋体" w:cs="宋体"/>
                <w:spacing w:val="6"/>
                <w:kern w:val="48"/>
              </w:rPr>
              <w:t>2.单位负责人为同一人或者存在直接控股、管理关系的不同供应商，不得参加同一合同项下的采购活动。</w:t>
            </w:r>
          </w:p>
          <w:p>
            <w:pPr>
              <w:pStyle w:val="12"/>
              <w:spacing w:line="360" w:lineRule="exact"/>
              <w:rPr>
                <w:rFonts w:hint="eastAsia" w:ascii="宋体" w:hAnsi="宋体" w:eastAsia="宋体" w:cs="宋体"/>
                <w:spacing w:val="6"/>
                <w:kern w:val="48"/>
              </w:rPr>
            </w:pPr>
            <w:r>
              <w:rPr>
                <w:rFonts w:hint="eastAsia" w:ascii="宋体" w:hAnsi="宋体" w:eastAsia="宋体" w:cs="宋体"/>
                <w:spacing w:val="6"/>
                <w:kern w:val="48"/>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4.本项目的特定资格要求：无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vAlign w:val="center"/>
          </w:tcPr>
          <w:p>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r>
              <w:rPr>
                <w:rFonts w:hint="eastAsia" w:hAnsi="宋体" w:cs="宋体"/>
                <w:lang w:val="en-US" w:eastAsia="zh-CN"/>
              </w:rPr>
              <w:t>6</w:t>
            </w: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vAlign w:val="center"/>
          </w:tcPr>
          <w:p>
            <w:pPr>
              <w:pStyle w:val="12"/>
              <w:spacing w:line="360" w:lineRule="exact"/>
              <w:rPr>
                <w:rFonts w:hint="eastAsia"/>
              </w:rPr>
            </w:pPr>
            <w:r>
              <w:rPr>
                <w:rFonts w:hint="eastAsia"/>
                <w:lang w:val="en-US" w:eastAsia="zh-CN"/>
              </w:rPr>
              <w:t>响应</w:t>
            </w:r>
            <w:r>
              <w:rPr>
                <w:rFonts w:hint="eastAsia"/>
              </w:rPr>
              <w:t>文件：</w:t>
            </w:r>
            <w:r>
              <w:rPr>
                <w:rFonts w:hint="eastAsia"/>
                <w:b/>
                <w:bCs/>
                <w:color w:val="FF0000"/>
              </w:rPr>
              <w:t>正本1份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18</w:t>
            </w:r>
          </w:p>
        </w:tc>
        <w:tc>
          <w:tcPr>
            <w:tcW w:w="1711" w:type="dxa"/>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vAlign w:val="center"/>
          </w:tcPr>
          <w:p>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p>
        </w:tc>
        <w:tc>
          <w:tcPr>
            <w:tcW w:w="1711" w:type="dxa"/>
            <w:vAlign w:val="center"/>
          </w:tcPr>
          <w:p>
            <w:pPr>
              <w:pStyle w:val="12"/>
              <w:spacing w:line="360" w:lineRule="exact"/>
              <w:jc w:val="center"/>
              <w:rPr>
                <w:rFonts w:hint="eastAsia" w:ascii="宋体" w:hAnsi="宋体" w:eastAsia="宋体" w:cs="宋体"/>
              </w:rPr>
            </w:pPr>
            <w:r>
              <w:rPr>
                <w:rFonts w:hint="eastAsia" w:ascii="宋体" w:hAnsi="宋体" w:eastAsia="宋体" w:cs="宋体"/>
              </w:rPr>
              <w:t>响应文件提交</w:t>
            </w:r>
          </w:p>
          <w:p>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vAlign w:val="center"/>
          </w:tcPr>
          <w:p>
            <w:pPr>
              <w:pStyle w:val="12"/>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竞争性磋商</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spacing w:line="360" w:lineRule="exact"/>
              <w:jc w:val="center"/>
              <w:rPr>
                <w:rFonts w:hint="default" w:ascii="宋体" w:hAnsi="宋体" w:eastAsia="宋体" w:cs="宋体"/>
                <w:lang w:val="en-US" w:eastAsia="zh-CN"/>
              </w:rPr>
            </w:pPr>
          </w:p>
        </w:tc>
        <w:tc>
          <w:tcPr>
            <w:tcW w:w="1711" w:type="dxa"/>
            <w:vAlign w:val="center"/>
          </w:tcPr>
          <w:p>
            <w:pPr>
              <w:pStyle w:val="12"/>
              <w:spacing w:line="360" w:lineRule="exact"/>
              <w:jc w:val="center"/>
              <w:rPr>
                <w:rFonts w:hint="eastAsia" w:ascii="宋体" w:hAnsi="宋体" w:eastAsia="宋体" w:cs="宋体"/>
              </w:rPr>
            </w:pPr>
            <w:r>
              <w:rPr>
                <w:rFonts w:hint="eastAsia" w:hAnsi="宋体" w:cs="宋体"/>
                <w:szCs w:val="21"/>
                <w:lang w:eastAsia="zh-CN"/>
              </w:rPr>
              <w:t>磋商</w:t>
            </w:r>
            <w:r>
              <w:rPr>
                <w:rFonts w:hint="eastAsia" w:ascii="宋体" w:hAnsi="宋体" w:eastAsia="宋体" w:cs="宋体"/>
              </w:rPr>
              <w:t>时间和地点</w:t>
            </w:r>
          </w:p>
        </w:tc>
        <w:tc>
          <w:tcPr>
            <w:tcW w:w="6418" w:type="dxa"/>
            <w:vAlign w:val="center"/>
          </w:tcPr>
          <w:p>
            <w:pPr>
              <w:pStyle w:val="12"/>
              <w:spacing w:line="360" w:lineRule="exact"/>
              <w:rPr>
                <w:rFonts w:hint="default" w:ascii="宋体" w:hAnsi="宋体" w:eastAsia="宋体" w:cs="宋体"/>
                <w:lang w:val="en-US" w:eastAsia="zh-CN"/>
              </w:rPr>
            </w:pPr>
            <w:r>
              <w:rPr>
                <w:rFonts w:hint="eastAsia" w:ascii="宋体" w:hAnsi="宋体" w:eastAsia="宋体" w:cs="宋体"/>
                <w:lang w:val="en-US" w:eastAsia="zh-CN"/>
              </w:rPr>
              <w:t>本项目无需二次报价</w:t>
            </w:r>
            <w:r>
              <w:rPr>
                <w:rFonts w:hint="eastAsia" w:hAnsi="宋体" w:cs="宋体"/>
                <w:lang w:val="en-US" w:eastAsia="zh-CN"/>
              </w:rPr>
              <w:t>，供应商不需要到达开标现场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pPr>
              <w:pStyle w:val="12"/>
              <w:adjustRightInd w:val="0"/>
              <w:spacing w:line="360" w:lineRule="exact"/>
              <w:jc w:val="center"/>
              <w:rPr>
                <w:rFonts w:hint="default" w:ascii="宋体" w:hAnsi="宋体" w:eastAsia="宋体" w:cs="宋体"/>
                <w:szCs w:val="21"/>
                <w:lang w:val="en-US" w:eastAsia="zh-CN"/>
              </w:rPr>
            </w:pPr>
          </w:p>
        </w:tc>
        <w:tc>
          <w:tcPr>
            <w:tcW w:w="1711" w:type="dxa"/>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vAlign w:val="center"/>
          </w:tcPr>
          <w:p>
            <w:pPr>
              <w:pStyle w:val="12"/>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0"/>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1"/>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采购预算：见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bidi="zh-CN"/>
        </w:rPr>
      </w:pPr>
      <w:r>
        <w:rPr>
          <w:rFonts w:hint="eastAsia" w:ascii="宋体" w:hAnsi="宋体" w:eastAsia="宋体" w:cs="宋体"/>
          <w:sz w:val="24"/>
          <w:szCs w:val="24"/>
          <w:lang w:val="en-US" w:bidi="zh-CN"/>
        </w:rPr>
        <w:t>1.4最高限价：</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5</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6</w:t>
      </w:r>
      <w:r>
        <w:rPr>
          <w:rFonts w:hint="default" w:ascii="宋体" w:hAnsi="宋体" w:eastAsia="宋体" w:cs="宋体"/>
          <w:sz w:val="24"/>
          <w:szCs w:val="24"/>
          <w:lang w:bidi="zh-CN"/>
        </w:rPr>
        <w:t>获取竞争性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1.7采购文件：是指采购人为完成采购活动所制定的文件，包括商务性文件内容和技术性文件内容（包括但不限于竞争性磋商文件、澄清或者更正公告等）。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1.8供应商：是指有能力向采购人提供符合本项目技术规格要求的货物、工程、服务的法人、其他组织和自然人。</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公告、竞争性</w:t>
      </w:r>
      <w:r>
        <w:rPr>
          <w:rFonts w:hint="eastAsia" w:ascii="宋体" w:hAnsi="宋体" w:eastAsia="宋体" w:cs="宋体"/>
          <w:sz w:val="24"/>
          <w:szCs w:val="24"/>
          <w:lang w:bidi="zh-CN"/>
        </w:rPr>
        <w:t>磋商</w:t>
      </w:r>
      <w:r>
        <w:rPr>
          <w:rFonts w:hint="eastAsia" w:ascii="宋体" w:hAnsi="宋体" w:eastAsia="宋体" w:cs="宋体"/>
          <w:sz w:val="24"/>
          <w:szCs w:val="24"/>
          <w:lang w:val="en-US" w:bidi="zh-CN"/>
        </w:rPr>
        <w:t>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3"/>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1"/>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1"/>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1"/>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1"/>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9.3.6供应商不按谈判（或磋商）小组要求澄清、说明或补正的；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1"/>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0"/>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1"/>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竞争性磋商</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并对其提交的响应文件的真实性、合法性承担法律责任。响应文件必须对竞争性</w:t>
      </w:r>
      <w:r>
        <w:rPr>
          <w:rFonts w:hint="eastAsia" w:ascii="宋体" w:hAnsi="宋体" w:eastAsia="宋体" w:cs="宋体"/>
          <w:sz w:val="24"/>
          <w:szCs w:val="24"/>
          <w:lang w:bidi="zh-CN"/>
        </w:rPr>
        <w:t>磋商</w:t>
      </w:r>
      <w:r>
        <w:rPr>
          <w:rFonts w:hint="default" w:ascii="宋体" w:hAnsi="宋体" w:eastAsia="宋体" w:cs="宋体"/>
          <w:sz w:val="24"/>
          <w:szCs w:val="24"/>
          <w:lang w:bidi="zh-CN"/>
        </w:rPr>
        <w:t>文件作出实质性响应。</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1"/>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1"/>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9"/>
        <w:rPr>
          <w:rFonts w:hint="eastAsia"/>
          <w:lang w:val="en-US" w:eastAsia="zh-CN"/>
        </w:rPr>
      </w:pPr>
      <w:r>
        <w:rPr>
          <w:rFonts w:hint="eastAsia"/>
          <w:lang w:val="en-US" w:eastAsia="zh-CN"/>
        </w:rPr>
        <w:t>第四章  评审办法</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磋商</w:t>
      </w:r>
      <w:r>
        <w:rPr>
          <w:rFonts w:hint="eastAsia" w:ascii="宋体" w:hAnsi="宋体" w:eastAsia="宋体" w:cs="宋体"/>
          <w:lang w:val="en-US" w:eastAsia="zh-CN" w:bidi="zh-CN"/>
        </w:rPr>
        <w:t>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本采购项目的磋商小组分别由依法组成的评审专家、采购人代表等三人以上单数组成，其中专家人数不少于成员总数的三分之二。</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本次评审采用综合评分法。磋商小组对资格和符合性审查合格的响应文件，采用综</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合评分法法进行评审。磋商小组将以采购文件、响应文件为评审依据，以满足采购文件全部实质性要求</w:t>
      </w:r>
      <w:r>
        <w:rPr>
          <w:rFonts w:hint="default" w:ascii="宋体" w:hAnsi="宋体" w:eastAsia="宋体" w:cs="宋体"/>
          <w:b w:val="0"/>
          <w:bCs w:val="0"/>
          <w:color w:val="FF0000"/>
          <w:kern w:val="2"/>
          <w:sz w:val="24"/>
          <w:szCs w:val="24"/>
          <w:lang w:eastAsia="zh-CN" w:bidi="zh-CN"/>
        </w:rPr>
        <w:t>，</w:t>
      </w:r>
      <w:r>
        <w:rPr>
          <w:rFonts w:hint="eastAsia" w:ascii="宋体" w:hAnsi="宋体" w:eastAsia="宋体" w:cs="宋体"/>
          <w:b w:val="0"/>
          <w:bCs w:val="0"/>
          <w:color w:val="FF0000"/>
          <w:kern w:val="2"/>
          <w:sz w:val="24"/>
          <w:szCs w:val="24"/>
          <w:lang w:val="en-US" w:eastAsia="zh-CN" w:bidi="zh-CN"/>
        </w:rPr>
        <w:t>按最终得分由高到低顺序推荐成交候选人。</w:t>
      </w:r>
    </w:p>
    <w:p>
      <w:pPr>
        <w:pStyle w:val="41"/>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满足采购文件全部实质性响应要求的前提下，磋商小组将按得分由高到低顺序推荐3名成交候选供应商，并编写评审报告。评审得分相同的，按照最后报价由低到高的顺序推荐。评审得分且最后报价相同的，则按照按实施方案得分高低顺序推荐。采购人应当确定磋商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磋商小组认为，某磋商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i w:val="0"/>
          <w:iCs w:val="0"/>
          <w:caps w:val="0"/>
          <w:color w:val="383838"/>
          <w:spacing w:val="0"/>
          <w:sz w:val="21"/>
          <w:szCs w:val="21"/>
          <w:shd w:val="clear" w:fill="FFFFFF"/>
          <w:lang w:val="en-US" w:eastAsia="zh-CN"/>
        </w:rPr>
      </w:pPr>
      <w:r>
        <w:rPr>
          <w:rFonts w:hint="eastAsia"/>
          <w:lang w:val="en-US" w:eastAsia="zh-CN"/>
        </w:rPr>
        <w:br w:type="page"/>
      </w:r>
      <w:r>
        <w:rPr>
          <w:rFonts w:hint="eastAsia" w:ascii="宋体" w:hAnsi="宋体" w:eastAsia="宋体" w:cs="宋体"/>
          <w:b/>
          <w:bCs/>
          <w:i w:val="0"/>
          <w:iCs w:val="0"/>
          <w:caps w:val="0"/>
          <w:color w:val="383838"/>
          <w:spacing w:val="0"/>
          <w:sz w:val="36"/>
          <w:szCs w:val="36"/>
          <w:shd w:val="clear" w:fill="FFFFFF"/>
          <w:lang w:val="en-US" w:eastAsia="zh-CN"/>
        </w:rPr>
        <w:t>第五章、定标方式：</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ascii="宋体" w:hAnsi="宋体" w:eastAsia="宋体" w:cs="宋体"/>
          <w:i w:val="0"/>
          <w:iCs w:val="0"/>
          <w:caps w:val="0"/>
          <w:color w:val="000000"/>
          <w:spacing w:val="0"/>
          <w:sz w:val="28"/>
          <w:szCs w:val="28"/>
          <w:u w:val="none"/>
          <w:shd w:val="clear" w:fill="FFFFFF"/>
          <w:vertAlign w:val="baseline"/>
        </w:rPr>
        <w:t>综合评</w:t>
      </w:r>
      <w:r>
        <w:rPr>
          <w:rFonts w:hint="eastAsia" w:ascii="宋体" w:hAnsi="宋体" w:eastAsia="宋体" w:cs="宋体"/>
          <w:i w:val="0"/>
          <w:iCs w:val="0"/>
          <w:caps w:val="0"/>
          <w:color w:val="000000"/>
          <w:spacing w:val="0"/>
          <w:sz w:val="28"/>
          <w:szCs w:val="28"/>
          <w:u w:val="none"/>
          <w:shd w:val="clear" w:fill="FFFFFF"/>
          <w:vertAlign w:val="baseline"/>
          <w:lang w:eastAsia="zh-CN"/>
        </w:rPr>
        <w:t>分</w:t>
      </w:r>
      <w:r>
        <w:rPr>
          <w:rFonts w:hint="eastAsia" w:ascii="宋体" w:hAnsi="宋体" w:eastAsia="宋体" w:cs="宋体"/>
          <w:i w:val="0"/>
          <w:iCs w:val="0"/>
          <w:caps w:val="0"/>
          <w:color w:val="000000"/>
          <w:spacing w:val="0"/>
          <w:sz w:val="28"/>
          <w:szCs w:val="28"/>
          <w:u w:val="none"/>
          <w:shd w:val="clear" w:fill="FFFFFF"/>
          <w:vertAlign w:val="baseline"/>
        </w:rPr>
        <w:t>法</w:t>
      </w:r>
      <w:r>
        <w:rPr>
          <w:rFonts w:hint="eastAsia" w:ascii="仿宋" w:hAnsi="仿宋" w:eastAsia="仿宋" w:cs="仿宋"/>
          <w:i w:val="0"/>
          <w:iCs w:val="0"/>
          <w:caps w:val="0"/>
          <w:color w:val="000000"/>
          <w:spacing w:val="0"/>
          <w:sz w:val="28"/>
          <w:szCs w:val="28"/>
          <w:u w:val="none"/>
          <w:shd w:val="clear" w:fill="FFFFFF"/>
          <w:vertAlign w:val="baseline"/>
          <w:lang w:eastAsia="zh-CN"/>
        </w:rPr>
        <w:t>（</w:t>
      </w:r>
      <w:r>
        <w:rPr>
          <w:rFonts w:hint="eastAsia" w:ascii="仿宋" w:hAnsi="仿宋" w:eastAsia="仿宋" w:cs="仿宋"/>
          <w:i w:val="0"/>
          <w:iCs w:val="0"/>
          <w:caps w:val="0"/>
          <w:color w:val="FF0000"/>
          <w:spacing w:val="0"/>
          <w:sz w:val="28"/>
          <w:szCs w:val="28"/>
          <w:u w:val="none"/>
          <w:shd w:val="clear" w:fill="FFFFFF"/>
          <w:vertAlign w:val="baseline"/>
          <w:lang w:val="en-US" w:eastAsia="zh-CN"/>
        </w:rPr>
        <w:t>附上打分的标准及规则</w:t>
      </w:r>
      <w:r>
        <w:rPr>
          <w:rFonts w:hint="eastAsia" w:ascii="仿宋" w:hAnsi="仿宋" w:eastAsia="仿宋" w:cs="仿宋"/>
          <w:i w:val="0"/>
          <w:iCs w:val="0"/>
          <w:caps w:val="0"/>
          <w:color w:val="000000"/>
          <w:spacing w:val="0"/>
          <w:sz w:val="28"/>
          <w:szCs w:val="28"/>
          <w:u w:val="none"/>
          <w:shd w:val="clear" w:fill="FFFFFF"/>
          <w:vertAlign w:val="baseline"/>
          <w:lang w:eastAsia="zh-CN"/>
        </w:rPr>
        <w:t>）</w:t>
      </w:r>
    </w:p>
    <w:p>
      <w:pPr>
        <w:spacing w:line="380" w:lineRule="exact"/>
        <w:ind w:firstLine="420" w:firstLineChars="200"/>
        <w:rPr>
          <w:color w:val="000000"/>
        </w:rPr>
      </w:pPr>
      <w:r>
        <w:rPr>
          <w:rFonts w:hint="eastAsia"/>
          <w:color w:val="000000"/>
        </w:rPr>
        <w:t>本次评标采用综合评分法。评标委员会对满足磋商文件实质性要求的响应文件，按照本章第2.1款规定的评分标准进行打分，并按得分由高到低顺序推荐成交候选人。评分相等时，以投标报价低的优先；投标报价也相等的，招标人根据响应文件企业信用评价等级、业绩、施工组织设计、人员能力、财务能力等综合考虑成交人顺序。</w:t>
      </w:r>
    </w:p>
    <w:p>
      <w:pPr>
        <w:pStyle w:val="43"/>
        <w:spacing w:line="380" w:lineRule="exact"/>
        <w:rPr>
          <w:color w:val="000000"/>
        </w:rPr>
      </w:pPr>
      <w:bookmarkStart w:id="0" w:name="_Toc369951717"/>
      <w:bookmarkStart w:id="1" w:name="_Toc152045590"/>
      <w:bookmarkStart w:id="2" w:name="_Toc179632608"/>
      <w:bookmarkStart w:id="3" w:name="_Toc13168"/>
      <w:bookmarkStart w:id="4" w:name="_Toc152042367"/>
      <w:bookmarkStart w:id="5" w:name="_Toc144974557"/>
      <w:r>
        <w:rPr>
          <w:rFonts w:hint="eastAsia"/>
          <w:color w:val="000000"/>
          <w:lang w:val="en-US" w:eastAsia="zh-CN"/>
        </w:rPr>
        <w:t>21</w:t>
      </w:r>
      <w:r>
        <w:rPr>
          <w:rFonts w:hint="eastAsia"/>
          <w:color w:val="000000"/>
        </w:rPr>
        <w:t>. 评审标准</w:t>
      </w:r>
      <w:bookmarkEnd w:id="0"/>
      <w:bookmarkEnd w:id="1"/>
      <w:bookmarkEnd w:id="2"/>
      <w:bookmarkEnd w:id="3"/>
      <w:bookmarkEnd w:id="4"/>
      <w:bookmarkEnd w:id="5"/>
    </w:p>
    <w:p>
      <w:pPr>
        <w:pStyle w:val="44"/>
        <w:spacing w:line="380" w:lineRule="exact"/>
        <w:rPr>
          <w:color w:val="000000"/>
        </w:rPr>
      </w:pPr>
      <w:bookmarkStart w:id="6" w:name="_Toc144974558"/>
      <w:bookmarkStart w:id="7" w:name="_Toc7104"/>
      <w:bookmarkStart w:id="8" w:name="_Toc179632609"/>
      <w:bookmarkStart w:id="9" w:name="_Toc369951718"/>
      <w:bookmarkStart w:id="10" w:name="_Toc152045591"/>
      <w:bookmarkStart w:id="11" w:name="_Toc152042368"/>
      <w:r>
        <w:rPr>
          <w:rFonts w:hint="eastAsia"/>
          <w:color w:val="000000"/>
        </w:rPr>
        <w:t>2</w:t>
      </w:r>
      <w:r>
        <w:rPr>
          <w:rFonts w:hint="eastAsia"/>
          <w:color w:val="000000"/>
          <w:lang w:val="en-US" w:eastAsia="zh-CN"/>
        </w:rPr>
        <w:t>1</w:t>
      </w:r>
      <w:r>
        <w:rPr>
          <w:rFonts w:hint="eastAsia"/>
          <w:color w:val="000000"/>
        </w:rPr>
        <w:t>.1 初步评审标准</w:t>
      </w:r>
      <w:bookmarkEnd w:id="6"/>
      <w:bookmarkEnd w:id="7"/>
      <w:bookmarkEnd w:id="8"/>
      <w:bookmarkEnd w:id="9"/>
      <w:bookmarkEnd w:id="10"/>
      <w:bookmarkEnd w:id="11"/>
    </w:p>
    <w:p>
      <w:pPr>
        <w:spacing w:line="380" w:lineRule="exact"/>
        <w:ind w:firstLine="420" w:firstLineChars="200"/>
        <w:rPr>
          <w:rFonts w:hint="eastAsia"/>
          <w:color w:val="000000"/>
        </w:rPr>
      </w:pPr>
      <w:r>
        <w:rPr>
          <w:rFonts w:hint="eastAsia"/>
          <w:color w:val="000000"/>
        </w:rPr>
        <w:t>2.1.1 资格评审标准：见评标办法</w:t>
      </w:r>
      <w:r>
        <w:rPr>
          <w:rFonts w:hint="eastAsia"/>
          <w:color w:val="000000"/>
          <w:lang w:eastAsia="zh-CN"/>
        </w:rPr>
        <w:t>表</w:t>
      </w:r>
      <w:r>
        <w:rPr>
          <w:rFonts w:hint="eastAsia"/>
          <w:color w:val="000000"/>
        </w:rPr>
        <w:t>。</w:t>
      </w:r>
    </w:p>
    <w:p>
      <w:pPr>
        <w:spacing w:line="380" w:lineRule="exact"/>
        <w:ind w:firstLine="420" w:firstLineChars="200"/>
        <w:rPr>
          <w:color w:val="000000"/>
        </w:rPr>
      </w:pPr>
      <w:r>
        <w:rPr>
          <w:rFonts w:hint="eastAsia"/>
          <w:color w:val="000000"/>
        </w:rPr>
        <w:t>2.1.2 形式评审标准：见评标办法</w:t>
      </w:r>
      <w:r>
        <w:rPr>
          <w:rFonts w:hint="eastAsia"/>
          <w:color w:val="000000"/>
          <w:lang w:eastAsia="zh-CN"/>
        </w:rPr>
        <w:t>表</w:t>
      </w:r>
      <w:r>
        <w:rPr>
          <w:rFonts w:hint="eastAsia"/>
          <w:color w:val="000000"/>
        </w:rPr>
        <w:t>。</w:t>
      </w:r>
    </w:p>
    <w:p>
      <w:pPr>
        <w:spacing w:line="380" w:lineRule="exact"/>
        <w:ind w:firstLine="420" w:firstLineChars="200"/>
        <w:rPr>
          <w:color w:val="000000"/>
        </w:rPr>
      </w:pPr>
      <w:r>
        <w:rPr>
          <w:rFonts w:hint="eastAsia"/>
          <w:color w:val="000000"/>
        </w:rPr>
        <w:t>2.1.3 响应性评审标准：见评标办法</w:t>
      </w:r>
      <w:r>
        <w:rPr>
          <w:rFonts w:hint="eastAsia"/>
          <w:color w:val="000000"/>
          <w:lang w:eastAsia="zh-CN"/>
        </w:rPr>
        <w:t>表</w:t>
      </w:r>
      <w:r>
        <w:rPr>
          <w:rFonts w:hint="eastAsia"/>
          <w:color w:val="000000"/>
        </w:rPr>
        <w:t>。</w:t>
      </w:r>
    </w:p>
    <w:p>
      <w:pPr>
        <w:pStyle w:val="44"/>
        <w:spacing w:line="380" w:lineRule="exact"/>
        <w:rPr>
          <w:color w:val="000000"/>
        </w:rPr>
      </w:pPr>
      <w:bookmarkStart w:id="12" w:name="_Toc179632610"/>
      <w:bookmarkStart w:id="13" w:name="_Toc10873"/>
      <w:bookmarkStart w:id="14" w:name="_Toc152045592"/>
      <w:bookmarkStart w:id="15" w:name="_Toc369951719"/>
      <w:bookmarkStart w:id="16" w:name="_Toc152042369"/>
      <w:bookmarkStart w:id="17" w:name="_Toc144974559"/>
      <w:r>
        <w:rPr>
          <w:rFonts w:hint="eastAsia"/>
          <w:color w:val="000000"/>
        </w:rPr>
        <w:t>2</w:t>
      </w:r>
      <w:r>
        <w:rPr>
          <w:rFonts w:hint="eastAsia"/>
          <w:color w:val="000000"/>
          <w:lang w:val="en-US" w:eastAsia="zh-CN"/>
        </w:rPr>
        <w:t>1</w:t>
      </w:r>
      <w:r>
        <w:rPr>
          <w:rFonts w:hint="eastAsia"/>
          <w:color w:val="000000"/>
        </w:rPr>
        <w:t>.2 详细评审标准</w:t>
      </w:r>
      <w:bookmarkEnd w:id="12"/>
      <w:bookmarkEnd w:id="13"/>
      <w:bookmarkEnd w:id="14"/>
      <w:bookmarkEnd w:id="15"/>
      <w:bookmarkEnd w:id="16"/>
      <w:bookmarkEnd w:id="17"/>
    </w:p>
    <w:p>
      <w:pPr>
        <w:spacing w:line="380" w:lineRule="exact"/>
        <w:ind w:firstLine="315" w:firstLineChars="150"/>
        <w:rPr>
          <w:color w:val="000000"/>
        </w:rPr>
      </w:pPr>
      <w:r>
        <w:rPr>
          <w:rFonts w:hint="eastAsia"/>
          <w:color w:val="000000"/>
        </w:rPr>
        <w:t>见评标办法</w:t>
      </w:r>
      <w:r>
        <w:rPr>
          <w:rFonts w:hint="eastAsia"/>
          <w:color w:val="000000"/>
          <w:lang w:eastAsia="zh-CN"/>
        </w:rPr>
        <w:t>表</w:t>
      </w:r>
      <w:r>
        <w:rPr>
          <w:rFonts w:hint="eastAsia"/>
          <w:color w:val="000000"/>
        </w:rPr>
        <w:t>。</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p>
    <w:p>
      <w:pPr>
        <w:tabs>
          <w:tab w:val="left" w:pos="1080"/>
        </w:tabs>
        <w:spacing w:line="360" w:lineRule="exact"/>
        <w:jc w:val="center"/>
        <w:rPr>
          <w:rFonts w:hint="eastAsia" w:ascii="宋体" w:hAnsi="宋体" w:eastAsiaTheme="minorEastAsia"/>
          <w:b/>
          <w:color w:val="000000"/>
          <w:sz w:val="24"/>
          <w:lang w:eastAsia="zh-CN"/>
        </w:rPr>
      </w:pPr>
      <w:r>
        <w:rPr>
          <w:rFonts w:hint="eastAsia" w:ascii="宋体" w:hAnsi="宋体"/>
          <w:b/>
          <w:color w:val="000000"/>
          <w:sz w:val="24"/>
        </w:rPr>
        <w:t>评标办法</w:t>
      </w:r>
      <w:r>
        <w:rPr>
          <w:rFonts w:hint="eastAsia" w:ascii="宋体" w:hAnsi="宋体"/>
          <w:b/>
          <w:color w:val="000000"/>
          <w:sz w:val="24"/>
          <w:lang w:eastAsia="zh-CN"/>
        </w:rPr>
        <w:t>表</w:t>
      </w:r>
    </w:p>
    <w:tbl>
      <w:tblPr>
        <w:tblStyle w:val="19"/>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209"/>
        <w:gridCol w:w="1444"/>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pPr>
              <w:pStyle w:val="42"/>
              <w:jc w:val="center"/>
              <w:rPr>
                <w:rFonts w:hint="eastAsia" w:ascii="宋体" w:hAnsi="宋体"/>
                <w:b/>
                <w:color w:val="000000"/>
              </w:rPr>
            </w:pPr>
            <w:r>
              <w:rPr>
                <w:rFonts w:hint="eastAsia" w:ascii="宋体" w:hAnsi="宋体" w:eastAsia="宋体" w:cs="宋体"/>
                <w:b/>
                <w:color w:val="000000"/>
                <w:sz w:val="21"/>
              </w:rPr>
              <w:t>条款号</w:t>
            </w:r>
          </w:p>
        </w:tc>
        <w:tc>
          <w:tcPr>
            <w:tcW w:w="1209" w:type="dxa"/>
            <w:vAlign w:val="center"/>
          </w:tcPr>
          <w:p>
            <w:pPr>
              <w:pStyle w:val="42"/>
              <w:jc w:val="center"/>
              <w:rPr>
                <w:rFonts w:hint="eastAsia" w:ascii="宋体" w:hAnsi="宋体"/>
                <w:b/>
                <w:color w:val="000000"/>
              </w:rPr>
            </w:pPr>
            <w:r>
              <w:rPr>
                <w:rFonts w:ascii="宋体" w:hAnsi="宋体" w:eastAsia="宋体" w:cs="宋体"/>
                <w:b/>
                <w:color w:val="000000"/>
                <w:sz w:val="21"/>
              </w:rPr>
              <w:t>评审因素</w:t>
            </w:r>
          </w:p>
        </w:tc>
        <w:tc>
          <w:tcPr>
            <w:tcW w:w="6147" w:type="dxa"/>
            <w:gridSpan w:val="2"/>
            <w:vAlign w:val="center"/>
          </w:tcPr>
          <w:p>
            <w:pPr>
              <w:pStyle w:val="25"/>
              <w:ind w:firstLine="812"/>
              <w:jc w:val="center"/>
              <w:rPr>
                <w:rFonts w:hint="eastAsia" w:ascii="宋体" w:hAnsi="宋体"/>
                <w:b/>
                <w:color w:val="000000"/>
                <w:lang w:val="en-US" w:eastAsia="zh-CN"/>
              </w:rPr>
            </w:pPr>
            <w:r>
              <w:rPr>
                <w:rFonts w:ascii="宋体" w:hAnsi="宋体" w:eastAsia="宋体" w:cs="宋体"/>
                <w:b/>
                <w:color w:val="000000"/>
                <w:sz w:val="21"/>
                <w:szCs w:val="24"/>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2.1.1</w:t>
            </w:r>
          </w:p>
        </w:tc>
        <w:tc>
          <w:tcPr>
            <w:tcW w:w="1209" w:type="dxa"/>
            <w:vMerge w:val="restart"/>
            <w:vAlign w:val="center"/>
          </w:tcPr>
          <w:p>
            <w:pPr>
              <w:pStyle w:val="25"/>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资格评审标准</w:t>
            </w:r>
          </w:p>
        </w:tc>
        <w:tc>
          <w:tcPr>
            <w:tcW w:w="1444" w:type="dxa"/>
            <w:vAlign w:val="center"/>
          </w:tcPr>
          <w:p>
            <w:pPr>
              <w:pStyle w:val="42"/>
              <w:jc w:val="center"/>
              <w:rPr>
                <w:rFonts w:hint="eastAsia" w:ascii="宋体" w:hAnsi="宋体"/>
                <w:b/>
                <w:color w:val="000000"/>
              </w:rPr>
            </w:pPr>
            <w:r>
              <w:rPr>
                <w:rFonts w:ascii="宋体" w:hAnsi="宋体" w:eastAsia="宋体" w:cs="宋体"/>
                <w:color w:val="000000"/>
                <w:sz w:val="21"/>
              </w:rPr>
              <w:t>营业执照</w:t>
            </w:r>
          </w:p>
        </w:tc>
        <w:tc>
          <w:tcPr>
            <w:tcW w:w="4703" w:type="dxa"/>
            <w:vAlign w:val="center"/>
          </w:tcPr>
          <w:p>
            <w:pPr>
              <w:pStyle w:val="42"/>
              <w:rPr>
                <w:rFonts w:hint="eastAsia" w:ascii="宋体" w:hAnsi="宋体"/>
                <w:b/>
                <w:color w:val="000000"/>
              </w:rPr>
            </w:pPr>
            <w:r>
              <w:rPr>
                <w:rFonts w:ascii="宋体" w:hAnsi="宋体" w:eastAsia="宋体" w:cs="宋体"/>
                <w:color w:val="000000"/>
                <w:sz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pPr>
              <w:pStyle w:val="25"/>
              <w:ind w:firstLine="918"/>
              <w:jc w:val="center"/>
              <w:rPr>
                <w:rFonts w:hint="eastAsia" w:ascii="宋体" w:hAnsi="宋体"/>
                <w:b/>
                <w:color w:val="000000"/>
                <w:lang w:val="en-US" w:eastAsia="zh-CN"/>
              </w:rPr>
            </w:pPr>
          </w:p>
        </w:tc>
        <w:tc>
          <w:tcPr>
            <w:tcW w:w="1444" w:type="dxa"/>
            <w:vAlign w:val="center"/>
          </w:tcPr>
          <w:p>
            <w:pPr>
              <w:pStyle w:val="42"/>
              <w:jc w:val="center"/>
              <w:rPr>
                <w:rFonts w:hint="eastAsia" w:ascii="宋体" w:hAnsi="宋体"/>
                <w:b/>
                <w:color w:val="000000"/>
              </w:rPr>
            </w:pPr>
            <w:r>
              <w:rPr>
                <w:rFonts w:ascii="宋体" w:hAnsi="宋体" w:eastAsia="宋体" w:cs="宋体"/>
                <w:color w:val="000000"/>
                <w:sz w:val="21"/>
              </w:rPr>
              <w:t>安全生产许可证</w:t>
            </w:r>
          </w:p>
        </w:tc>
        <w:tc>
          <w:tcPr>
            <w:tcW w:w="4703" w:type="dxa"/>
            <w:vAlign w:val="center"/>
          </w:tcPr>
          <w:p>
            <w:pPr>
              <w:pStyle w:val="42"/>
              <w:rPr>
                <w:rFonts w:hint="eastAsia" w:ascii="宋体" w:hAnsi="宋体"/>
                <w:b/>
                <w:color w:val="000000"/>
              </w:rPr>
            </w:pPr>
            <w:r>
              <w:rPr>
                <w:rFonts w:ascii="宋体" w:hAnsi="宋体" w:eastAsia="宋体" w:cs="宋体"/>
                <w:color w:val="000000"/>
                <w:sz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pPr>
              <w:pStyle w:val="25"/>
              <w:ind w:firstLine="918"/>
              <w:jc w:val="center"/>
              <w:rPr>
                <w:rFonts w:hint="eastAsia" w:ascii="宋体" w:hAnsi="宋体"/>
                <w:b/>
                <w:color w:val="000000"/>
                <w:lang w:val="en-US" w:eastAsia="zh-CN"/>
              </w:rPr>
            </w:pPr>
          </w:p>
        </w:tc>
        <w:tc>
          <w:tcPr>
            <w:tcW w:w="1444" w:type="dxa"/>
            <w:vAlign w:val="center"/>
          </w:tcPr>
          <w:p>
            <w:pPr>
              <w:pStyle w:val="42"/>
              <w:jc w:val="center"/>
              <w:rPr>
                <w:rFonts w:ascii="宋体" w:hAnsi="宋体" w:eastAsia="宋体" w:cs="宋体"/>
                <w:color w:val="auto"/>
                <w:sz w:val="21"/>
              </w:rPr>
            </w:pPr>
            <w:r>
              <w:rPr>
                <w:rFonts w:ascii="宋体" w:hAnsi="宋体" w:eastAsia="宋体" w:cs="宋体"/>
                <w:color w:val="auto"/>
                <w:sz w:val="21"/>
              </w:rPr>
              <w:t>资质等级</w:t>
            </w:r>
          </w:p>
        </w:tc>
        <w:tc>
          <w:tcPr>
            <w:tcW w:w="4703" w:type="dxa"/>
            <w:vAlign w:val="center"/>
          </w:tcPr>
          <w:p>
            <w:pPr>
              <w:pStyle w:val="42"/>
              <w:rPr>
                <w:rFonts w:ascii="宋体" w:hAnsi="宋体" w:eastAsia="宋体" w:cs="宋体"/>
                <w:color w:val="auto"/>
                <w:sz w:val="21"/>
              </w:rPr>
            </w:pPr>
            <w:r>
              <w:rPr>
                <w:rFonts w:hint="eastAsia" w:ascii="宋体" w:hAnsi="宋体" w:eastAsia="宋体" w:cs="宋体"/>
                <w:color w:val="auto"/>
                <w:sz w:val="21"/>
              </w:rPr>
              <w:t>竞标企业需</w:t>
            </w:r>
            <w:r>
              <w:rPr>
                <w:rFonts w:hint="default" w:ascii="宋体" w:hAnsi="宋体" w:eastAsia="宋体" w:cs="宋体"/>
                <w:color w:val="auto"/>
                <w:sz w:val="21"/>
              </w:rPr>
              <w:t>具有效的</w:t>
            </w:r>
            <w:r>
              <w:rPr>
                <w:rFonts w:hint="eastAsia" w:ascii="宋体" w:hAnsi="宋体" w:eastAsia="宋体" w:cs="宋体"/>
                <w:color w:val="auto"/>
                <w:sz w:val="21"/>
              </w:rPr>
              <w:t>营业执照</w:t>
            </w:r>
            <w:r>
              <w:rPr>
                <w:rFonts w:hint="default" w:ascii="宋体" w:hAnsi="宋体" w:eastAsia="宋体" w:cs="宋体"/>
                <w:color w:val="auto"/>
                <w:sz w:val="21"/>
              </w:rPr>
              <w:t>、建筑</w:t>
            </w:r>
            <w:r>
              <w:rPr>
                <w:rFonts w:hint="eastAsia" w:ascii="宋体" w:hAnsi="宋体" w:eastAsia="宋体" w:cs="宋体"/>
                <w:color w:val="auto"/>
                <w:sz w:val="21"/>
                <w:lang w:val="en-US" w:eastAsia="zh-CN"/>
              </w:rPr>
              <w:t>三级及以上资质</w:t>
            </w:r>
            <w:r>
              <w:rPr>
                <w:rFonts w:hint="eastAsia" w:ascii="宋体" w:hAnsi="宋体" w:eastAsia="宋体" w:cs="宋体"/>
                <w:color w:val="auto"/>
                <w:sz w:val="21"/>
              </w:rPr>
              <w:t>，施工人员持有相关专业有效上岗证件，特别是特种专业上岗证件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pPr>
              <w:pStyle w:val="25"/>
              <w:ind w:firstLine="918"/>
              <w:jc w:val="center"/>
              <w:rPr>
                <w:rFonts w:hint="eastAsia" w:ascii="宋体" w:hAnsi="宋体"/>
                <w:b/>
                <w:color w:val="000000"/>
                <w:lang w:val="en-US" w:eastAsia="zh-CN"/>
              </w:rPr>
            </w:pPr>
          </w:p>
        </w:tc>
        <w:tc>
          <w:tcPr>
            <w:tcW w:w="1444" w:type="dxa"/>
            <w:vAlign w:val="center"/>
          </w:tcPr>
          <w:p>
            <w:pPr>
              <w:pStyle w:val="42"/>
              <w:jc w:val="center"/>
              <w:rPr>
                <w:rFonts w:ascii="宋体" w:hAnsi="宋体" w:eastAsia="宋体" w:cs="宋体"/>
                <w:color w:val="auto"/>
                <w:sz w:val="21"/>
              </w:rPr>
            </w:pPr>
            <w:r>
              <w:rPr>
                <w:rFonts w:hint="eastAsia" w:ascii="宋体" w:hAnsi="宋体" w:eastAsia="宋体" w:cs="宋体"/>
                <w:color w:val="000000"/>
                <w:sz w:val="21"/>
              </w:rPr>
              <w:t>法定代表人身份证明及授权</w:t>
            </w:r>
          </w:p>
        </w:tc>
        <w:tc>
          <w:tcPr>
            <w:tcW w:w="4703" w:type="dxa"/>
            <w:vAlign w:val="center"/>
          </w:tcPr>
          <w:p>
            <w:pPr>
              <w:pStyle w:val="42"/>
              <w:rPr>
                <w:rFonts w:hint="eastAsia" w:ascii="宋体" w:hAnsi="宋体" w:eastAsia="宋体" w:cs="宋体"/>
                <w:color w:val="auto"/>
                <w:sz w:val="21"/>
              </w:rPr>
            </w:pPr>
            <w:r>
              <w:rPr>
                <w:rFonts w:hint="eastAsia" w:ascii="宋体" w:hAnsi="宋体" w:eastAsia="宋体" w:cs="宋体"/>
                <w:color w:val="000000"/>
                <w:sz w:val="21"/>
              </w:rPr>
              <w:t>法定代表人身份证明原件及身份证复印件（法定代表人签署响应文件时提供）或者响应文件签署授权委托书（原件），附：法定代表人身份证明及身份证复印件、委托代理人的身份证复印件（委托代理人签署响应文件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center"/>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center"/>
          </w:tcPr>
          <w:p>
            <w:pPr>
              <w:pStyle w:val="25"/>
              <w:ind w:firstLine="918"/>
              <w:jc w:val="center"/>
              <w:rPr>
                <w:rFonts w:hint="eastAsia" w:ascii="宋体" w:hAnsi="宋体"/>
                <w:b/>
                <w:color w:val="000000"/>
                <w:lang w:val="en-US" w:eastAsia="zh-CN"/>
              </w:rPr>
            </w:pPr>
          </w:p>
        </w:tc>
        <w:tc>
          <w:tcPr>
            <w:tcW w:w="1444" w:type="dxa"/>
            <w:vAlign w:val="center"/>
          </w:tcPr>
          <w:p>
            <w:pPr>
              <w:pStyle w:val="42"/>
              <w:jc w:val="center"/>
              <w:rPr>
                <w:rFonts w:ascii="宋体" w:hAnsi="宋体" w:eastAsia="宋体" w:cs="宋体"/>
                <w:color w:val="000000"/>
                <w:sz w:val="21"/>
                <w:highlight w:val="none"/>
              </w:rPr>
            </w:pPr>
            <w:r>
              <w:rPr>
                <w:rFonts w:ascii="宋体" w:hAnsi="宋体" w:eastAsia="宋体" w:cs="宋体"/>
                <w:color w:val="000000"/>
                <w:sz w:val="21"/>
                <w:highlight w:val="none"/>
              </w:rPr>
              <w:t>诚信</w:t>
            </w:r>
          </w:p>
        </w:tc>
        <w:tc>
          <w:tcPr>
            <w:tcW w:w="4703" w:type="dxa"/>
            <w:vAlign w:val="center"/>
          </w:tcPr>
          <w:p>
            <w:pPr>
              <w:pStyle w:val="42"/>
              <w:rPr>
                <w:rFonts w:hint="eastAsia" w:ascii="宋体" w:hAnsi="宋体" w:eastAsia="宋体" w:cs="宋体"/>
                <w:color w:val="000000"/>
                <w:sz w:val="21"/>
                <w:highlight w:val="none"/>
              </w:rPr>
            </w:pPr>
            <w:r>
              <w:rPr>
                <w:rFonts w:hint="eastAsia" w:ascii="宋体" w:hAnsi="宋体" w:eastAsia="宋体" w:cs="宋体"/>
                <w:color w:val="000000"/>
                <w:sz w:val="21"/>
                <w:highlight w:val="none"/>
              </w:rPr>
              <w:t>未被“信用中国”（www.creditchina.gov.cn）、中国政府采购网（www.ccgp.gov.cn）列入失信被执行人、重大税收违法案件当事人名单、政府采购严重违法失信行为记录名单。</w:t>
            </w:r>
          </w:p>
          <w:p>
            <w:pPr>
              <w:pStyle w:val="42"/>
              <w:rPr>
                <w:rFonts w:ascii="宋体" w:hAnsi="宋体" w:eastAsia="宋体" w:cs="宋体"/>
                <w:color w:val="000000"/>
                <w:sz w:val="21"/>
                <w:highlight w:val="none"/>
              </w:rPr>
            </w:pPr>
            <w:r>
              <w:rPr>
                <w:rFonts w:hint="eastAsia" w:ascii="宋体" w:hAnsi="宋体" w:eastAsia="宋体" w:cs="宋体"/>
                <w:b/>
                <w:bCs/>
                <w:color w:val="000000"/>
                <w:sz w:val="21"/>
                <w:highlight w:val="none"/>
              </w:rPr>
              <w:t>[供应商参加政府采购活动前三年内在经营活动中没有重大违法记录或不良信用记录的书面声明</w:t>
            </w:r>
            <w:r>
              <w:rPr>
                <w:rFonts w:hint="eastAsia" w:ascii="宋体" w:hAnsi="宋体" w:eastAsia="宋体" w:cs="宋体"/>
                <w:color w:val="000000"/>
                <w:sz w:val="21"/>
                <w:highlight w:val="none"/>
              </w:rPr>
              <w:t>（注：重大违法记录，是指供应商因违法经营受到刑事处罚或者责令停产停业、吊销许可证或者执照、较大数额罚款等行政处罚。供应商如有重大违法记录和不良信用记录情况的，请如实反映）]。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2.1.2</w:t>
            </w:r>
          </w:p>
        </w:tc>
        <w:tc>
          <w:tcPr>
            <w:tcW w:w="1209" w:type="dxa"/>
            <w:vMerge w:val="restart"/>
            <w:vAlign w:val="center"/>
          </w:tcPr>
          <w:p>
            <w:pPr>
              <w:pStyle w:val="25"/>
              <w:ind w:left="0" w:leftChars="0" w:firstLine="0" w:firstLineChars="0"/>
              <w:jc w:val="both"/>
              <w:rPr>
                <w:rFonts w:hint="eastAsia" w:ascii="宋体" w:hAnsi="宋体"/>
                <w:b/>
                <w:color w:val="000000"/>
                <w:lang w:val="en-US" w:eastAsia="zh-CN"/>
              </w:rPr>
            </w:pPr>
            <w:r>
              <w:rPr>
                <w:rFonts w:ascii="宋体" w:hAnsi="宋体" w:eastAsia="宋体" w:cs="宋体"/>
                <w:color w:val="000000"/>
                <w:sz w:val="21"/>
                <w:szCs w:val="24"/>
                <w:lang w:val="en-US" w:eastAsia="zh-CN"/>
              </w:rPr>
              <w:t>形式评审标准</w:t>
            </w:r>
          </w:p>
        </w:tc>
        <w:tc>
          <w:tcPr>
            <w:tcW w:w="1444"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供应商</w:t>
            </w:r>
            <w:r>
              <w:rPr>
                <w:rFonts w:ascii="宋体" w:hAnsi="宋体" w:eastAsia="宋体" w:cs="宋体"/>
                <w:color w:val="000000"/>
                <w:sz w:val="21"/>
              </w:rPr>
              <w:t>名称</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hint="eastAsia" w:ascii="宋体" w:hAnsi="宋体" w:eastAsia="宋体" w:cs="宋体"/>
                <w:color w:val="000000"/>
                <w:sz w:val="21"/>
              </w:rPr>
              <w:t>磋商</w:t>
            </w:r>
            <w:r>
              <w:rPr>
                <w:rFonts w:ascii="宋体" w:hAnsi="宋体" w:eastAsia="宋体" w:cs="宋体"/>
                <w:color w:val="000000"/>
                <w:sz w:val="21"/>
              </w:rPr>
              <w:t>函签字盖章</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法定代表人</w:t>
            </w:r>
            <w:r>
              <w:rPr>
                <w:rFonts w:hint="eastAsia" w:ascii="宋体" w:hAnsi="宋体" w:eastAsia="宋体" w:cs="宋体"/>
                <w:color w:val="000000"/>
                <w:sz w:val="21"/>
                <w:lang w:val="en-US" w:eastAsia="zh-CN"/>
              </w:rPr>
              <w:t>签字、或委托代理人签字</w:t>
            </w:r>
            <w:r>
              <w:rPr>
                <w:rFonts w:hint="eastAsia" w:ascii="宋体" w:hAnsi="宋体" w:eastAsia="宋体" w:cs="宋体"/>
                <w:color w:val="000000"/>
                <w:sz w:val="21"/>
              </w:rPr>
              <w:t>及单位公章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810"/>
              <w:jc w:val="center"/>
              <w:rPr>
                <w:rFonts w:hint="eastAsia" w:ascii="宋体" w:hAnsi="宋体" w:eastAsia="宋体" w:cs="宋体"/>
                <w:bCs w:val="0"/>
                <w:color w:val="000000"/>
                <w:sz w:val="21"/>
                <w:szCs w:val="24"/>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报价唯一</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25"/>
              <w:ind w:left="0" w:leftChars="0" w:firstLine="0" w:firstLineChars="0"/>
              <w:jc w:val="center"/>
              <w:rPr>
                <w:rFonts w:ascii="宋体" w:hAnsi="宋体" w:eastAsia="宋体" w:cs="宋体"/>
                <w:bCs w:val="0"/>
                <w:color w:val="000000"/>
                <w:sz w:val="21"/>
                <w:szCs w:val="24"/>
                <w:lang w:val="en-US" w:eastAsia="zh-CN"/>
              </w:rPr>
            </w:pPr>
            <w:r>
              <w:rPr>
                <w:rFonts w:hint="eastAsia" w:ascii="宋体" w:hAnsi="宋体" w:eastAsia="宋体" w:cs="宋体"/>
                <w:bCs w:val="0"/>
                <w:color w:val="000000"/>
                <w:sz w:val="21"/>
                <w:szCs w:val="24"/>
                <w:lang w:val="en-US" w:eastAsia="zh-CN"/>
              </w:rPr>
              <w:t>2.1.3</w:t>
            </w:r>
          </w:p>
        </w:tc>
        <w:tc>
          <w:tcPr>
            <w:tcW w:w="1209" w:type="dxa"/>
            <w:vMerge w:val="restart"/>
            <w:vAlign w:val="center"/>
          </w:tcPr>
          <w:p>
            <w:pPr>
              <w:pStyle w:val="25"/>
              <w:ind w:left="0" w:leftChars="0" w:firstLine="0" w:firstLineChars="0"/>
              <w:jc w:val="both"/>
              <w:rPr>
                <w:rFonts w:ascii="宋体" w:hAnsi="宋体" w:eastAsia="宋体" w:cs="宋体"/>
                <w:bCs w:val="0"/>
                <w:color w:val="000000"/>
                <w:sz w:val="21"/>
                <w:szCs w:val="24"/>
                <w:lang w:val="en-US" w:eastAsia="zh-CN"/>
              </w:rPr>
            </w:pPr>
            <w:r>
              <w:rPr>
                <w:rFonts w:ascii="宋体" w:hAnsi="宋体" w:eastAsia="宋体" w:cs="宋体"/>
                <w:bCs w:val="0"/>
                <w:color w:val="000000"/>
                <w:sz w:val="21"/>
                <w:szCs w:val="24"/>
                <w:lang w:val="en-US" w:eastAsia="zh-CN"/>
              </w:rPr>
              <w:t>响应性评审标准</w:t>
            </w: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投标内容</w:t>
            </w:r>
          </w:p>
        </w:tc>
        <w:tc>
          <w:tcPr>
            <w:tcW w:w="4703" w:type="dxa"/>
            <w:vAlign w:val="center"/>
          </w:tcPr>
          <w:p>
            <w:pPr>
              <w:pStyle w:val="42"/>
              <w:rPr>
                <w:rFonts w:hint="eastAsia" w:ascii="宋体" w:hAnsi="宋体" w:eastAsia="宋体" w:cs="宋体"/>
                <w:color w:val="000000"/>
                <w:sz w:val="21"/>
                <w:lang w:eastAsia="zh-CN"/>
              </w:rPr>
            </w:pPr>
            <w:r>
              <w:rPr>
                <w:rFonts w:hint="eastAsia" w:ascii="宋体" w:hAnsi="宋体" w:eastAsia="宋体" w:cs="宋体"/>
                <w:color w:val="000000"/>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工期</w:t>
            </w:r>
          </w:p>
        </w:tc>
        <w:tc>
          <w:tcPr>
            <w:tcW w:w="4703" w:type="dxa"/>
            <w:vAlign w:val="center"/>
          </w:tcPr>
          <w:p>
            <w:pPr>
              <w:pStyle w:val="42"/>
              <w:rPr>
                <w:rFonts w:hint="default" w:ascii="宋体" w:hAnsi="宋体" w:eastAsia="宋体" w:cs="宋体"/>
                <w:color w:val="000000"/>
                <w:sz w:val="21"/>
                <w:lang w:val="en-US" w:eastAsia="zh-CN"/>
              </w:rPr>
            </w:pPr>
            <w:r>
              <w:rPr>
                <w:rFonts w:hint="eastAsia" w:ascii="宋体" w:hAnsi="宋体" w:eastAsia="宋体" w:cs="宋体"/>
                <w:color w:val="000000"/>
                <w:sz w:val="21"/>
                <w:lang w:val="en-US" w:eastAsia="zh-CN"/>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工程质量</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rPr>
              <w:t>符合</w:t>
            </w:r>
            <w:r>
              <w:rPr>
                <w:rFonts w:hint="eastAsia" w:ascii="宋体" w:hAnsi="宋体" w:eastAsia="宋体" w:cs="宋体"/>
                <w:color w:val="000000"/>
                <w:sz w:val="21"/>
                <w:lang w:val="en-US" w:eastAsia="zh-CN"/>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投标有效期</w:t>
            </w:r>
          </w:p>
        </w:tc>
        <w:tc>
          <w:tcPr>
            <w:tcW w:w="4703" w:type="dxa"/>
            <w:vAlign w:val="center"/>
          </w:tcPr>
          <w:p>
            <w:pPr>
              <w:pStyle w:val="42"/>
              <w:rPr>
                <w:rFonts w:hint="eastAsia" w:ascii="宋体" w:hAnsi="宋体" w:eastAsia="宋体" w:cs="宋体"/>
                <w:color w:val="000000"/>
                <w:sz w:val="21"/>
              </w:rPr>
            </w:pPr>
            <w:r>
              <w:rPr>
                <w:rFonts w:hint="eastAsia" w:ascii="宋体" w:hAnsi="宋体" w:eastAsia="宋体" w:cs="宋体"/>
                <w:color w:val="000000"/>
                <w:sz w:val="21"/>
                <w:lang w:val="en-US" w:eastAsia="zh-CN"/>
              </w:rPr>
              <w:t>详看磋商文件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权利义务</w:t>
            </w:r>
          </w:p>
        </w:tc>
        <w:tc>
          <w:tcPr>
            <w:tcW w:w="4703" w:type="dxa"/>
            <w:vAlign w:val="center"/>
          </w:tcPr>
          <w:p>
            <w:pPr>
              <w:pStyle w:val="42"/>
              <w:rPr>
                <w:rFonts w:ascii="宋体" w:hAnsi="宋体" w:eastAsia="宋体" w:cs="宋体"/>
                <w:color w:val="000000"/>
                <w:sz w:val="21"/>
              </w:rPr>
            </w:pPr>
          </w:p>
          <w:p>
            <w:pPr>
              <w:pStyle w:val="42"/>
              <w:rPr>
                <w:rFonts w:hint="eastAsia" w:ascii="宋体" w:hAnsi="宋体" w:eastAsia="宋体" w:cs="宋体"/>
                <w:color w:val="000000"/>
                <w:sz w:val="21"/>
              </w:rPr>
            </w:pPr>
            <w:r>
              <w:rPr>
                <w:rFonts w:ascii="宋体" w:hAnsi="宋体" w:eastAsia="宋体" w:cs="宋体"/>
                <w:color w:val="000000"/>
                <w:sz w:val="21"/>
              </w:rPr>
              <w:t>投标函附录中的相关承诺符合或优于第</w:t>
            </w:r>
            <w:r>
              <w:rPr>
                <w:rFonts w:hint="eastAsia" w:ascii="宋体" w:hAnsi="宋体" w:eastAsia="宋体" w:cs="宋体"/>
                <w:color w:val="000000"/>
                <w:sz w:val="21"/>
                <w:lang w:eastAsia="zh-CN"/>
              </w:rPr>
              <w:t>七</w:t>
            </w:r>
            <w:r>
              <w:rPr>
                <w:rFonts w:ascii="宋体" w:hAnsi="宋体" w:eastAsia="宋体" w:cs="宋体"/>
                <w:color w:val="000000"/>
                <w:sz w:val="21"/>
              </w:rPr>
              <w:t>章“合同条款及格式”的相关规定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投标价格</w:t>
            </w:r>
          </w:p>
        </w:tc>
        <w:tc>
          <w:tcPr>
            <w:tcW w:w="4703" w:type="dxa"/>
            <w:vAlign w:val="center"/>
          </w:tcPr>
          <w:p>
            <w:pPr>
              <w:pStyle w:val="42"/>
              <w:rPr>
                <w:rFonts w:ascii="宋体" w:hAnsi="宋体" w:eastAsia="宋体" w:cs="宋体"/>
                <w:color w:val="000000"/>
                <w:sz w:val="21"/>
              </w:rPr>
            </w:pPr>
          </w:p>
          <w:p>
            <w:pPr>
              <w:pStyle w:val="42"/>
              <w:rPr>
                <w:rFonts w:hint="eastAsia" w:ascii="宋体" w:hAnsi="宋体" w:eastAsia="宋体" w:cs="宋体"/>
                <w:color w:val="000000"/>
                <w:sz w:val="21"/>
              </w:rPr>
            </w:pPr>
            <w:r>
              <w:rPr>
                <w:rFonts w:ascii="宋体" w:hAnsi="宋体" w:eastAsia="宋体" w:cs="宋体"/>
                <w:color w:val="000000"/>
                <w:sz w:val="21"/>
              </w:rPr>
              <w:t>低于（含等于）招标人公布的招标控制价且无否决投标条件的相应情况。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已标价工程量清单</w:t>
            </w:r>
          </w:p>
        </w:tc>
        <w:tc>
          <w:tcPr>
            <w:tcW w:w="4703" w:type="dxa"/>
            <w:vAlign w:val="center"/>
          </w:tcPr>
          <w:p>
            <w:pPr>
              <w:pStyle w:val="42"/>
              <w:rPr>
                <w:rFonts w:ascii="宋体" w:hAnsi="宋体" w:eastAsia="宋体" w:cs="宋体"/>
                <w:color w:val="000000"/>
                <w:sz w:val="21"/>
              </w:rPr>
            </w:pPr>
          </w:p>
          <w:p>
            <w:pPr>
              <w:pStyle w:val="42"/>
              <w:rPr>
                <w:rFonts w:hint="eastAsia" w:ascii="宋体" w:hAnsi="宋体" w:eastAsia="宋体" w:cs="宋体"/>
                <w:color w:val="000000"/>
                <w:sz w:val="21"/>
              </w:rPr>
            </w:pPr>
            <w:r>
              <w:rPr>
                <w:rFonts w:ascii="宋体" w:hAnsi="宋体" w:eastAsia="宋体" w:cs="宋体"/>
                <w:color w:val="000000"/>
                <w:sz w:val="21"/>
              </w:rPr>
              <w:t>符合“工程量清单”给出的子目编码、子目名称、子目特征、计量单位和工程量且无否决投标条件的相应情况。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86" w:type="dxa"/>
            <w:gridSpan w:val="4"/>
            <w:vAlign w:val="top"/>
          </w:tcPr>
          <w:p>
            <w:pPr>
              <w:pStyle w:val="42"/>
              <w:rPr>
                <w:rFonts w:ascii="宋体" w:hAnsi="宋体" w:eastAsia="宋体" w:cs="宋体"/>
                <w:color w:val="000000"/>
                <w:spacing w:val="89"/>
                <w:sz w:val="21"/>
              </w:rPr>
            </w:pPr>
            <w:r>
              <w:rPr>
                <w:rFonts w:ascii="宋体" w:hAnsi="宋体" w:eastAsia="宋体" w:cs="宋体"/>
                <w:b/>
                <w:color w:val="000000"/>
                <w:sz w:val="21"/>
              </w:rPr>
              <w:t>合格标准：</w:t>
            </w:r>
            <w:r>
              <w:rPr>
                <w:rFonts w:hint="eastAsia" w:ascii="宋体" w:hAnsi="宋体" w:eastAsia="宋体" w:cs="宋体"/>
                <w:b/>
                <w:color w:val="000000"/>
                <w:sz w:val="21"/>
              </w:rPr>
              <w:t>以上</w:t>
            </w:r>
            <w:r>
              <w:rPr>
                <w:rFonts w:ascii="宋体" w:hAnsi="宋体" w:eastAsia="宋体" w:cs="宋体"/>
                <w:b/>
                <w:color w:val="000000"/>
                <w:sz w:val="21"/>
              </w:rPr>
              <w:t>缺少任何一项或有任何一项不合格者，其评审</w:t>
            </w:r>
            <w:r>
              <w:rPr>
                <w:rFonts w:hint="eastAsia" w:ascii="宋体" w:hAnsi="宋体" w:eastAsia="宋体" w:cs="宋体"/>
                <w:b/>
                <w:color w:val="000000"/>
                <w:sz w:val="21"/>
              </w:rPr>
              <w:t>结果</w:t>
            </w:r>
            <w:r>
              <w:rPr>
                <w:rFonts w:ascii="宋体" w:hAnsi="宋体" w:eastAsia="宋体" w:cs="宋体"/>
                <w:b/>
                <w:color w:val="000000"/>
                <w:sz w:val="21"/>
              </w:rPr>
              <w:t>视为不合格</w:t>
            </w:r>
            <w:r>
              <w:rPr>
                <w:rFonts w:hint="eastAsia" w:ascii="宋体" w:hAnsi="宋体" w:eastAsia="宋体" w:cs="宋体"/>
                <w:b/>
                <w:color w:val="00000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0" w:type="dxa"/>
            <w:vAlign w:val="center"/>
          </w:tcPr>
          <w:p>
            <w:pPr>
              <w:pStyle w:val="42"/>
              <w:jc w:val="center"/>
              <w:rPr>
                <w:rFonts w:hint="eastAsia" w:ascii="宋体" w:hAnsi="宋体" w:eastAsia="宋体" w:cs="宋体"/>
                <w:color w:val="000000"/>
                <w:sz w:val="21"/>
              </w:rPr>
            </w:pPr>
            <w:r>
              <w:rPr>
                <w:rFonts w:ascii="宋体" w:hAnsi="宋体" w:eastAsia="宋体" w:cs="宋体"/>
                <w:color w:val="000000"/>
                <w:sz w:val="21"/>
              </w:rPr>
              <w:t>2.</w:t>
            </w:r>
            <w:r>
              <w:rPr>
                <w:rFonts w:hint="eastAsia" w:ascii="宋体" w:hAnsi="宋体" w:eastAsia="宋体" w:cs="宋体"/>
                <w:color w:val="000000"/>
                <w:sz w:val="21"/>
              </w:rPr>
              <w:t>2</w:t>
            </w:r>
          </w:p>
        </w:tc>
        <w:tc>
          <w:tcPr>
            <w:tcW w:w="1209" w:type="dxa"/>
            <w:vAlign w:val="center"/>
          </w:tcPr>
          <w:p>
            <w:pPr>
              <w:pStyle w:val="42"/>
              <w:jc w:val="center"/>
              <w:rPr>
                <w:rFonts w:ascii="宋体" w:hAnsi="宋体" w:eastAsia="宋体" w:cs="宋体"/>
                <w:color w:val="000000"/>
                <w:sz w:val="21"/>
              </w:rPr>
            </w:pPr>
            <w:r>
              <w:rPr>
                <w:rFonts w:ascii="宋体" w:hAnsi="宋体" w:eastAsia="宋体" w:cs="宋体"/>
                <w:color w:val="000000"/>
                <w:sz w:val="21"/>
              </w:rPr>
              <w:t>详细评审</w:t>
            </w:r>
          </w:p>
        </w:tc>
        <w:tc>
          <w:tcPr>
            <w:tcW w:w="6147" w:type="dxa"/>
            <w:gridSpan w:val="2"/>
            <w:vAlign w:val="center"/>
          </w:tcPr>
          <w:p>
            <w:pPr>
              <w:pStyle w:val="42"/>
              <w:rPr>
                <w:rFonts w:ascii="宋体" w:hAnsi="宋体" w:eastAsia="宋体" w:cs="宋体"/>
                <w:b/>
                <w:color w:val="000000"/>
                <w:sz w:val="21"/>
              </w:rPr>
            </w:pPr>
            <w:r>
              <w:rPr>
                <w:rFonts w:ascii="宋体" w:hAnsi="宋体" w:eastAsia="宋体" w:cs="宋体"/>
                <w:b/>
                <w:color w:val="000000"/>
                <w:sz w:val="21"/>
              </w:rPr>
              <w:t>通过资格审查的合格</w:t>
            </w:r>
            <w:r>
              <w:rPr>
                <w:rFonts w:hint="eastAsia" w:ascii="宋体" w:hAnsi="宋体" w:eastAsia="宋体" w:cs="宋体"/>
                <w:b/>
                <w:color w:val="000000"/>
                <w:sz w:val="21"/>
              </w:rPr>
              <w:t>供应商</w:t>
            </w:r>
            <w:r>
              <w:rPr>
                <w:rFonts w:ascii="宋体" w:hAnsi="宋体" w:eastAsia="宋体" w:cs="宋体"/>
                <w:b/>
                <w:color w:val="000000"/>
                <w:sz w:val="21"/>
              </w:rPr>
              <w:t>，只有通过了形式评审和响应性评审，才能进入详细评审程序。</w:t>
            </w:r>
          </w:p>
          <w:p>
            <w:pPr>
              <w:tabs>
                <w:tab w:val="left" w:pos="1080"/>
              </w:tabs>
              <w:spacing w:line="320" w:lineRule="exact"/>
              <w:rPr>
                <w:rFonts w:hint="eastAsia"/>
                <w:color w:val="000000"/>
              </w:rPr>
            </w:pPr>
            <w:r>
              <w:rPr>
                <w:rFonts w:hint="eastAsia" w:ascii="宋体" w:hAnsi="宋体"/>
                <w:color w:val="000000"/>
                <w:szCs w:val="21"/>
              </w:rPr>
              <w:t>分值构成（总分100分）其中：</w:t>
            </w:r>
          </w:p>
          <w:p>
            <w:pPr>
              <w:widowControl/>
              <w:jc w:val="left"/>
              <w:rPr>
                <w:color w:val="000000"/>
              </w:rPr>
            </w:pPr>
            <w:r>
              <w:rPr>
                <w:rFonts w:hint="eastAsia" w:ascii="宋体" w:hAnsi="宋体" w:cs="宋体"/>
                <w:color w:val="000000"/>
                <w:kern w:val="0"/>
                <w:szCs w:val="21"/>
                <w:lang w:bidi="ar"/>
              </w:rPr>
              <w:t xml:space="preserve">（1）技术标分值：40分 </w:t>
            </w:r>
          </w:p>
          <w:p>
            <w:pPr>
              <w:widowControl/>
              <w:jc w:val="left"/>
              <w:rPr>
                <w:rFonts w:ascii="宋体" w:hAnsi="宋体" w:cs="宋体"/>
                <w:b/>
                <w:color w:val="000000"/>
              </w:rPr>
            </w:pPr>
            <w:r>
              <w:rPr>
                <w:rFonts w:hint="eastAsia" w:ascii="宋体" w:hAnsi="宋体" w:cs="宋体"/>
                <w:color w:val="000000"/>
                <w:kern w:val="0"/>
                <w:szCs w:val="21"/>
                <w:lang w:bidi="ar"/>
              </w:rPr>
              <w:t>（2）商务标分值：60分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42"/>
              <w:jc w:val="center"/>
              <w:rPr>
                <w:rFonts w:ascii="宋体" w:hAnsi="宋体" w:eastAsia="宋体" w:cs="宋体"/>
                <w:color w:val="000000"/>
                <w:sz w:val="21"/>
              </w:rPr>
            </w:pPr>
            <w:r>
              <w:rPr>
                <w:rFonts w:hint="eastAsia" w:ascii="宋体" w:hAnsi="宋体" w:eastAsia="宋体" w:cs="宋体"/>
                <w:color w:val="000000"/>
                <w:sz w:val="21"/>
              </w:rPr>
              <w:t>2.2.1</w:t>
            </w:r>
          </w:p>
        </w:tc>
        <w:tc>
          <w:tcPr>
            <w:tcW w:w="1209" w:type="dxa"/>
            <w:vMerge w:val="restart"/>
            <w:vAlign w:val="center"/>
          </w:tcPr>
          <w:p>
            <w:pPr>
              <w:pStyle w:val="42"/>
              <w:jc w:val="center"/>
              <w:rPr>
                <w:rFonts w:ascii="宋体" w:hAnsi="宋体" w:eastAsia="宋体" w:cs="宋体"/>
                <w:color w:val="000000"/>
                <w:sz w:val="21"/>
              </w:rPr>
            </w:pPr>
            <w:r>
              <w:rPr>
                <w:rFonts w:ascii="宋体" w:hAnsi="宋体" w:eastAsia="宋体" w:cs="宋体"/>
                <w:color w:val="000000"/>
                <w:sz w:val="21"/>
              </w:rPr>
              <w:t>技术标评分标准</w:t>
            </w:r>
            <w:r>
              <w:rPr>
                <w:rFonts w:hint="eastAsia" w:ascii="宋体" w:hAnsi="宋体"/>
                <w:color w:val="000000"/>
                <w:szCs w:val="21"/>
              </w:rPr>
              <w:t>（满分40分）</w:t>
            </w:r>
          </w:p>
        </w:tc>
        <w:tc>
          <w:tcPr>
            <w:tcW w:w="1444" w:type="dxa"/>
            <w:vAlign w:val="center"/>
          </w:tcPr>
          <w:p>
            <w:pPr>
              <w:tabs>
                <w:tab w:val="left" w:pos="1080"/>
              </w:tabs>
              <w:spacing w:line="400" w:lineRule="exact"/>
              <w:rPr>
                <w:rFonts w:ascii="宋体" w:hAnsi="宋体" w:cs="宋体"/>
                <w:color w:val="auto"/>
              </w:rPr>
            </w:pPr>
            <w:r>
              <w:rPr>
                <w:rFonts w:hint="eastAsia" w:ascii="宋体" w:hAnsi="宋体"/>
                <w:color w:val="auto"/>
                <w:szCs w:val="21"/>
              </w:rPr>
              <w:t>1、总体概述（施工程序总体设想及施工段划分）（满分10分）</w:t>
            </w:r>
          </w:p>
        </w:tc>
        <w:tc>
          <w:tcPr>
            <w:tcW w:w="4703" w:type="dxa"/>
            <w:vAlign w:val="top"/>
          </w:tcPr>
          <w:p>
            <w:pPr>
              <w:tabs>
                <w:tab w:val="left" w:pos="1080"/>
              </w:tabs>
              <w:adjustRightInd w:val="0"/>
              <w:spacing w:line="360" w:lineRule="auto"/>
              <w:textAlignment w:val="baseline"/>
              <w:rPr>
                <w:rFonts w:ascii="宋体" w:hAnsi="宋体" w:cs="宋体"/>
                <w:color w:val="auto"/>
                <w:szCs w:val="21"/>
              </w:rPr>
            </w:pPr>
            <w:r>
              <w:rPr>
                <w:rFonts w:hint="eastAsia" w:ascii="宋体" w:hAnsi="宋体" w:cs="宋体"/>
                <w:color w:val="auto"/>
                <w:szCs w:val="21"/>
              </w:rPr>
              <w:t>差(3.0分)：对项目认识不足，表述不清晰，措施不具体；施工段划分不合理。</w:t>
            </w:r>
          </w:p>
          <w:p>
            <w:pPr>
              <w:adjustRightInd w:val="0"/>
              <w:spacing w:line="360" w:lineRule="auto"/>
              <w:textAlignment w:val="baseline"/>
              <w:rPr>
                <w:rFonts w:ascii="宋体" w:hAnsi="宋体" w:cs="宋体"/>
                <w:color w:val="auto"/>
                <w:szCs w:val="21"/>
              </w:rPr>
            </w:pPr>
            <w:r>
              <w:rPr>
                <w:rFonts w:hint="eastAsia" w:ascii="宋体" w:hAnsi="宋体" w:cs="宋体"/>
                <w:color w:val="auto"/>
                <w:szCs w:val="21"/>
              </w:rPr>
              <w:t>良(6.0分)：对项目总体有认识，措施一般但部分不具体：施工段划分较合理，符合规范要求。</w:t>
            </w:r>
          </w:p>
          <w:p>
            <w:pPr>
              <w:adjustRightInd w:val="0"/>
              <w:spacing w:line="360" w:lineRule="auto"/>
              <w:textAlignment w:val="baseline"/>
              <w:rPr>
                <w:rFonts w:ascii="宋体" w:hAnsi="宋体" w:cs="宋体"/>
                <w:color w:val="auto"/>
                <w:spacing w:val="89"/>
              </w:rPr>
            </w:pPr>
            <w:r>
              <w:rPr>
                <w:rFonts w:hint="eastAsia" w:ascii="宋体" w:hAnsi="宋体" w:cs="宋体"/>
                <w:color w:val="auto"/>
                <w:szCs w:val="21"/>
              </w:rPr>
              <w:t>优(10.0分)：对项目总体有深刻认识，表述清晰、完整、严谨、合理，措施先进、具体、有效、成熟，采用了已论证的新技术、新工艺、新材料、新设备；施工段划分呼应总体表述，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tabs>
                <w:tab w:val="left" w:pos="1080"/>
              </w:tabs>
              <w:spacing w:line="360" w:lineRule="exact"/>
              <w:jc w:val="center"/>
              <w:rPr>
                <w:rFonts w:ascii="宋体" w:hAnsi="宋体" w:cs="宋体"/>
                <w:color w:val="auto"/>
              </w:rPr>
            </w:pPr>
            <w:r>
              <w:rPr>
                <w:rFonts w:hint="eastAsia" w:ascii="宋体" w:hAnsi="宋体"/>
                <w:color w:val="auto"/>
                <w:szCs w:val="21"/>
              </w:rPr>
              <w:t>2、主要工程项目的施工方案、方法及技术措施（10分）</w:t>
            </w:r>
          </w:p>
        </w:tc>
        <w:tc>
          <w:tcPr>
            <w:tcW w:w="4703" w:type="dxa"/>
            <w:vAlign w:val="top"/>
          </w:tcPr>
          <w:p>
            <w:pPr>
              <w:tabs>
                <w:tab w:val="left" w:pos="1080"/>
              </w:tabs>
              <w:spacing w:line="400" w:lineRule="exact"/>
              <w:rPr>
                <w:rFonts w:ascii="宋体" w:hAnsi="宋体"/>
                <w:color w:val="auto"/>
                <w:szCs w:val="21"/>
              </w:rPr>
            </w:pPr>
            <w:r>
              <w:rPr>
                <w:rFonts w:hint="eastAsia" w:ascii="宋体" w:hAnsi="宋体" w:cs="宋体"/>
                <w:color w:val="auto"/>
                <w:szCs w:val="21"/>
              </w:rPr>
              <w:t>差(3.0分)</w:t>
            </w:r>
            <w:r>
              <w:rPr>
                <w:rFonts w:hint="eastAsia" w:ascii="宋体" w:hAnsi="宋体"/>
                <w:color w:val="auto"/>
                <w:szCs w:val="21"/>
              </w:rPr>
              <w:t>：对项目关键技术表述不清，对重点、难点建议一般，解决方案不可行。</w:t>
            </w:r>
          </w:p>
          <w:p>
            <w:pPr>
              <w:tabs>
                <w:tab w:val="left" w:pos="1080"/>
              </w:tabs>
              <w:spacing w:line="400" w:lineRule="exact"/>
              <w:rPr>
                <w:rFonts w:ascii="宋体" w:hAnsi="宋体"/>
                <w:color w:val="auto"/>
                <w:szCs w:val="21"/>
              </w:rPr>
            </w:pPr>
            <w:r>
              <w:rPr>
                <w:rFonts w:hint="eastAsia" w:ascii="宋体" w:hAnsi="宋体" w:cs="宋体"/>
                <w:color w:val="auto"/>
                <w:szCs w:val="21"/>
              </w:rPr>
              <w:t>良(6.0分)：</w:t>
            </w:r>
            <w:r>
              <w:rPr>
                <w:rFonts w:hint="eastAsia" w:ascii="宋体" w:hAnsi="宋体"/>
                <w:color w:val="auto"/>
                <w:szCs w:val="21"/>
              </w:rPr>
              <w:t>对项目关键技术、工艺有深入的表述，对重点、难点有合理的建议，解决方案经济、安全、基本可行。</w:t>
            </w:r>
          </w:p>
          <w:p>
            <w:pPr>
              <w:tabs>
                <w:tab w:val="left" w:pos="1080"/>
              </w:tabs>
              <w:spacing w:line="400" w:lineRule="exact"/>
              <w:rPr>
                <w:rFonts w:ascii="宋体" w:hAnsi="宋体" w:cs="宋体"/>
                <w:color w:val="auto"/>
                <w:spacing w:val="89"/>
              </w:rPr>
            </w:pPr>
            <w:r>
              <w:rPr>
                <w:rFonts w:hint="eastAsia" w:ascii="宋体" w:hAnsi="宋体" w:cs="宋体"/>
                <w:color w:val="auto"/>
                <w:szCs w:val="21"/>
              </w:rPr>
              <w:t>优(10.0分)：</w:t>
            </w:r>
            <w:r>
              <w:rPr>
                <w:rFonts w:hint="eastAsia" w:ascii="宋体" w:hAnsi="宋体"/>
                <w:color w:val="auto"/>
                <w:szCs w:val="21"/>
              </w:rPr>
              <w:t>对项目关键技术、工艺有深入的表述，对重点、难点有先进合理的施工措施并有可行的安全措施，解决方案完整、经济、安全、切实可行，措施得力。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tabs>
                <w:tab w:val="left" w:pos="1080"/>
              </w:tabs>
              <w:spacing w:line="360" w:lineRule="exact"/>
              <w:jc w:val="center"/>
              <w:rPr>
                <w:rFonts w:ascii="宋体" w:hAnsi="宋体" w:cs="宋体"/>
                <w:color w:val="auto"/>
              </w:rPr>
            </w:pPr>
            <w:r>
              <w:rPr>
                <w:rFonts w:hint="eastAsia" w:ascii="宋体" w:hAnsi="宋体" w:cs="Arial"/>
                <w:color w:val="auto"/>
                <w:kern w:val="0"/>
                <w:szCs w:val="21"/>
              </w:rPr>
              <w:t>3、施工进度计划和各阶段进度的保证措施及违约责任承诺（满分5分）</w:t>
            </w:r>
          </w:p>
        </w:tc>
        <w:tc>
          <w:tcPr>
            <w:tcW w:w="4703" w:type="dxa"/>
            <w:vAlign w:val="top"/>
          </w:tcPr>
          <w:p>
            <w:pPr>
              <w:tabs>
                <w:tab w:val="left" w:pos="1080"/>
              </w:tabs>
              <w:spacing w:line="400" w:lineRule="exact"/>
              <w:rPr>
                <w:rFonts w:ascii="宋体" w:hAnsi="宋体"/>
                <w:color w:val="auto"/>
                <w:szCs w:val="21"/>
              </w:rPr>
            </w:pPr>
            <w:r>
              <w:rPr>
                <w:rFonts w:hint="eastAsia" w:ascii="宋体" w:hAnsi="宋体" w:cs="宋体"/>
                <w:color w:val="auto"/>
                <w:szCs w:val="21"/>
              </w:rPr>
              <w:t>差(1.5分)：</w:t>
            </w:r>
            <w:r>
              <w:rPr>
                <w:rFonts w:hint="eastAsia" w:ascii="宋体" w:hAnsi="宋体"/>
                <w:color w:val="auto"/>
                <w:szCs w:val="21"/>
              </w:rPr>
              <w:t>关键</w:t>
            </w:r>
            <w:r>
              <w:rPr>
                <w:rFonts w:hint="eastAsia" w:ascii="宋体" w:hAnsi="宋体"/>
                <w:color w:val="auto"/>
                <w:szCs w:val="21"/>
                <w:lang w:val="en-US" w:eastAsia="zh-CN"/>
              </w:rPr>
              <w:t>工程</w:t>
            </w:r>
            <w:r>
              <w:rPr>
                <w:rFonts w:hint="eastAsia" w:ascii="宋体" w:hAnsi="宋体"/>
                <w:color w:val="auto"/>
                <w:szCs w:val="21"/>
              </w:rPr>
              <w:t>不准确，计划编制不合理，关键节点的控制不可行，没有违约责任承诺。</w:t>
            </w:r>
          </w:p>
          <w:p>
            <w:pPr>
              <w:tabs>
                <w:tab w:val="left" w:pos="1080"/>
              </w:tabs>
              <w:spacing w:line="400" w:lineRule="exact"/>
              <w:rPr>
                <w:rFonts w:ascii="宋体" w:hAnsi="宋体"/>
                <w:color w:val="auto"/>
                <w:szCs w:val="21"/>
              </w:rPr>
            </w:pPr>
            <w:r>
              <w:rPr>
                <w:rFonts w:hint="eastAsia" w:ascii="宋体" w:hAnsi="宋体" w:cs="宋体"/>
                <w:color w:val="auto"/>
                <w:szCs w:val="21"/>
              </w:rPr>
              <w:t>良(3.0分)：</w:t>
            </w:r>
            <w:r>
              <w:rPr>
                <w:rFonts w:hint="eastAsia" w:ascii="宋体" w:hAnsi="宋体"/>
                <w:color w:val="auto"/>
                <w:szCs w:val="21"/>
              </w:rPr>
              <w:t>关键线路基本准确，计划编制基本合理，关键节点的控制措施基本可行，进度违约责任承诺具体。</w:t>
            </w:r>
          </w:p>
          <w:p>
            <w:pPr>
              <w:tabs>
                <w:tab w:val="left" w:pos="1080"/>
              </w:tabs>
              <w:spacing w:line="400" w:lineRule="exact"/>
              <w:rPr>
                <w:rFonts w:ascii="宋体" w:hAnsi="宋体" w:cs="宋体"/>
                <w:color w:val="auto"/>
                <w:spacing w:val="89"/>
              </w:rPr>
            </w:pPr>
            <w:r>
              <w:rPr>
                <w:rFonts w:hint="eastAsia" w:ascii="宋体" w:hAnsi="宋体" w:cs="宋体"/>
                <w:color w:val="auto"/>
                <w:szCs w:val="21"/>
              </w:rPr>
              <w:t>优(5.0分)：</w:t>
            </w:r>
            <w:r>
              <w:rPr>
                <w:rFonts w:hint="eastAsia" w:ascii="宋体" w:hAnsi="宋体"/>
                <w:color w:val="auto"/>
                <w:szCs w:val="21"/>
              </w:rPr>
              <w:t>关键</w:t>
            </w:r>
            <w:r>
              <w:rPr>
                <w:rFonts w:hint="eastAsia" w:ascii="宋体" w:hAnsi="宋体"/>
                <w:color w:val="auto"/>
                <w:szCs w:val="21"/>
                <w:lang w:val="en-US" w:eastAsia="zh-CN"/>
              </w:rPr>
              <w:t>工程</w:t>
            </w:r>
            <w:r>
              <w:rPr>
                <w:rFonts w:hint="eastAsia" w:ascii="宋体" w:hAnsi="宋体"/>
                <w:color w:val="auto"/>
                <w:szCs w:val="21"/>
              </w:rPr>
              <w:t>清晰、准确、完整，计划编制合理、可行，关键节点的控制措施有力、合理、可行，进度违约责任承诺具体。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tabs>
                <w:tab w:val="left" w:pos="1080"/>
              </w:tabs>
              <w:spacing w:line="360" w:lineRule="exact"/>
              <w:jc w:val="center"/>
              <w:rPr>
                <w:rFonts w:ascii="宋体" w:hAnsi="宋体" w:cs="宋体"/>
                <w:color w:val="auto"/>
              </w:rPr>
            </w:pPr>
            <w:r>
              <w:rPr>
                <w:rFonts w:hint="eastAsia" w:ascii="宋体" w:hAnsi="宋体"/>
                <w:color w:val="auto"/>
                <w:szCs w:val="21"/>
              </w:rPr>
              <w:t>4、安全文明施工措施（满分5分）</w:t>
            </w:r>
          </w:p>
        </w:tc>
        <w:tc>
          <w:tcPr>
            <w:tcW w:w="4703" w:type="dxa"/>
            <w:vAlign w:val="top"/>
          </w:tcPr>
          <w:p>
            <w:pPr>
              <w:tabs>
                <w:tab w:val="left" w:pos="1080"/>
              </w:tabs>
              <w:spacing w:line="400" w:lineRule="exact"/>
              <w:ind w:firstLine="105" w:firstLineChars="50"/>
              <w:rPr>
                <w:rFonts w:ascii="宋体" w:hAnsi="宋体"/>
                <w:color w:val="auto"/>
                <w:szCs w:val="21"/>
              </w:rPr>
            </w:pPr>
            <w:r>
              <w:rPr>
                <w:rFonts w:hint="eastAsia" w:ascii="宋体" w:hAnsi="宋体" w:cs="宋体"/>
                <w:color w:val="auto"/>
                <w:szCs w:val="21"/>
              </w:rPr>
              <w:t>差(1.5分)：</w:t>
            </w:r>
            <w:r>
              <w:rPr>
                <w:rFonts w:hint="eastAsia" w:ascii="宋体" w:hAnsi="宋体"/>
                <w:color w:val="auto"/>
                <w:szCs w:val="21"/>
              </w:rPr>
              <w:t>安全文明措施不得力，采用规范不正确。</w:t>
            </w:r>
          </w:p>
          <w:p>
            <w:pPr>
              <w:tabs>
                <w:tab w:val="left" w:pos="1080"/>
              </w:tabs>
              <w:spacing w:line="400" w:lineRule="exact"/>
              <w:ind w:firstLine="105" w:firstLineChars="50"/>
              <w:rPr>
                <w:rFonts w:ascii="宋体" w:hAnsi="宋体"/>
                <w:color w:val="auto"/>
                <w:szCs w:val="21"/>
              </w:rPr>
            </w:pPr>
            <w:r>
              <w:rPr>
                <w:rFonts w:hint="eastAsia" w:ascii="宋体" w:hAnsi="宋体" w:cs="宋体"/>
                <w:color w:val="auto"/>
                <w:szCs w:val="21"/>
              </w:rPr>
              <w:t>良(3.0分)：</w:t>
            </w:r>
            <w:r>
              <w:rPr>
                <w:rFonts w:hint="eastAsia" w:ascii="宋体" w:hAnsi="宋体"/>
                <w:color w:val="auto"/>
                <w:szCs w:val="21"/>
              </w:rPr>
              <w:t>针对项目实际情况，有合理的措施且具体、完整，采用规范正确。</w:t>
            </w:r>
          </w:p>
          <w:p>
            <w:pPr>
              <w:tabs>
                <w:tab w:val="left" w:pos="1080"/>
              </w:tabs>
              <w:spacing w:line="400" w:lineRule="exact"/>
              <w:ind w:firstLine="105" w:firstLineChars="50"/>
              <w:rPr>
                <w:rFonts w:ascii="宋体" w:hAnsi="宋体" w:cs="宋体"/>
                <w:color w:val="auto"/>
                <w:spacing w:val="89"/>
              </w:rPr>
            </w:pPr>
            <w:r>
              <w:rPr>
                <w:rFonts w:hint="eastAsia" w:ascii="宋体" w:hAnsi="宋体" w:cs="宋体"/>
                <w:color w:val="auto"/>
                <w:szCs w:val="21"/>
              </w:rPr>
              <w:t>优(5.0分)</w:t>
            </w:r>
            <w:r>
              <w:rPr>
                <w:rFonts w:hint="eastAsia" w:ascii="宋体" w:hAnsi="宋体"/>
                <w:color w:val="auto"/>
                <w:szCs w:val="21"/>
              </w:rPr>
              <w:t>：针对项目实际情况，有先进、具体、完整、可行的实施措施，采用规范正确、清晰。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autoSpaceDE w:val="0"/>
              <w:autoSpaceDN w:val="0"/>
              <w:adjustRightInd w:val="0"/>
              <w:spacing w:line="280" w:lineRule="exact"/>
              <w:ind w:right="-20"/>
              <w:jc w:val="center"/>
              <w:rPr>
                <w:rFonts w:ascii="宋体" w:hAnsi="宋体" w:cs="宋体"/>
                <w:color w:val="auto"/>
              </w:rPr>
            </w:pPr>
            <w:r>
              <w:rPr>
                <w:rFonts w:hint="eastAsia" w:ascii="宋体" w:hAnsi="宋体"/>
                <w:color w:val="auto"/>
                <w:szCs w:val="21"/>
              </w:rPr>
              <w:t>5、质量保证措施（满分5分）</w:t>
            </w:r>
          </w:p>
        </w:tc>
        <w:tc>
          <w:tcPr>
            <w:tcW w:w="4703" w:type="dxa"/>
            <w:vAlign w:val="top"/>
          </w:tcPr>
          <w:p>
            <w:pPr>
              <w:tabs>
                <w:tab w:val="left" w:pos="1080"/>
              </w:tabs>
              <w:spacing w:line="400" w:lineRule="exact"/>
              <w:rPr>
                <w:rFonts w:ascii="宋体" w:hAnsi="宋体"/>
                <w:color w:val="auto"/>
                <w:szCs w:val="21"/>
              </w:rPr>
            </w:pPr>
            <w:r>
              <w:rPr>
                <w:rFonts w:hint="eastAsia" w:ascii="宋体" w:hAnsi="宋体" w:cs="宋体"/>
                <w:color w:val="auto"/>
                <w:szCs w:val="21"/>
              </w:rPr>
              <w:t>差(1.0分)：</w:t>
            </w:r>
            <w:r>
              <w:rPr>
                <w:rFonts w:hint="eastAsia" w:ascii="宋体" w:hAnsi="宋体"/>
                <w:color w:val="auto"/>
                <w:szCs w:val="21"/>
              </w:rPr>
              <w:t>具体措施可行，满足招标文件的质量要求。</w:t>
            </w:r>
          </w:p>
          <w:p>
            <w:pPr>
              <w:tabs>
                <w:tab w:val="left" w:pos="1080"/>
              </w:tabs>
              <w:spacing w:line="400" w:lineRule="exact"/>
              <w:rPr>
                <w:rFonts w:ascii="宋体" w:hAnsi="宋体"/>
                <w:color w:val="auto"/>
                <w:szCs w:val="21"/>
              </w:rPr>
            </w:pPr>
            <w:r>
              <w:rPr>
                <w:rFonts w:hint="eastAsia" w:ascii="宋体" w:hAnsi="宋体"/>
                <w:color w:val="auto"/>
                <w:szCs w:val="21"/>
              </w:rPr>
              <w:t>良(3.0分)：针对项目实际提出先进、可行、具体的保证措施，满足招标文件的质量要求。</w:t>
            </w:r>
          </w:p>
          <w:p>
            <w:pPr>
              <w:tabs>
                <w:tab w:val="left" w:pos="1080"/>
              </w:tabs>
              <w:spacing w:line="400" w:lineRule="exact"/>
              <w:rPr>
                <w:rFonts w:ascii="宋体" w:hAnsi="宋体" w:cs="宋体"/>
                <w:color w:val="auto"/>
                <w:spacing w:val="89"/>
              </w:rPr>
            </w:pPr>
            <w:r>
              <w:rPr>
                <w:rFonts w:hint="eastAsia" w:ascii="宋体" w:hAnsi="宋体"/>
                <w:color w:val="auto"/>
                <w:szCs w:val="21"/>
              </w:rPr>
              <w:t>优(5.0分)：应用新技术、新工艺、新材料、新设备，针对项目实际提出先进、可行、具体的保证措施，满足招标文件的质量要求及施工验收规范要求。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25"/>
              <w:ind w:firstLine="918"/>
              <w:rPr>
                <w:rFonts w:hint="eastAsia" w:ascii="宋体" w:hAnsi="宋体"/>
                <w:b/>
                <w:color w:val="000000"/>
                <w:lang w:val="en-US" w:eastAsia="zh-CN"/>
              </w:rPr>
            </w:pPr>
          </w:p>
        </w:tc>
        <w:tc>
          <w:tcPr>
            <w:tcW w:w="1209" w:type="dxa"/>
            <w:vMerge w:val="continue"/>
            <w:vAlign w:val="top"/>
          </w:tcPr>
          <w:p>
            <w:pPr>
              <w:pStyle w:val="25"/>
              <w:ind w:firstLine="810"/>
              <w:rPr>
                <w:rFonts w:ascii="宋体" w:hAnsi="宋体" w:eastAsia="宋体" w:cs="宋体"/>
                <w:color w:val="000000"/>
                <w:sz w:val="21"/>
                <w:szCs w:val="24"/>
                <w:lang w:val="en-US" w:eastAsia="zh-CN"/>
              </w:rPr>
            </w:pPr>
          </w:p>
        </w:tc>
        <w:tc>
          <w:tcPr>
            <w:tcW w:w="1444" w:type="dxa"/>
            <w:vAlign w:val="center"/>
          </w:tcPr>
          <w:p>
            <w:pPr>
              <w:tabs>
                <w:tab w:val="left" w:pos="1080"/>
              </w:tabs>
              <w:spacing w:line="360" w:lineRule="exact"/>
              <w:jc w:val="center"/>
              <w:rPr>
                <w:rFonts w:ascii="宋体" w:hAnsi="宋体" w:cs="宋体"/>
                <w:color w:val="auto"/>
              </w:rPr>
            </w:pPr>
            <w:r>
              <w:rPr>
                <w:rFonts w:hint="eastAsia" w:ascii="宋体" w:hAnsi="宋体" w:cs="Arial"/>
                <w:color w:val="auto"/>
                <w:kern w:val="0"/>
                <w:szCs w:val="21"/>
              </w:rPr>
              <w:t>6、劳动力和材料投入计划及其保证措施（满分5分）</w:t>
            </w:r>
          </w:p>
        </w:tc>
        <w:tc>
          <w:tcPr>
            <w:tcW w:w="4703" w:type="dxa"/>
            <w:vAlign w:val="top"/>
          </w:tcPr>
          <w:p>
            <w:pPr>
              <w:tabs>
                <w:tab w:val="left" w:pos="1080"/>
              </w:tabs>
              <w:spacing w:line="400" w:lineRule="exact"/>
              <w:ind w:firstLine="105" w:firstLineChars="50"/>
              <w:rPr>
                <w:rFonts w:ascii="宋体" w:hAnsi="宋体"/>
                <w:color w:val="auto"/>
                <w:szCs w:val="21"/>
              </w:rPr>
            </w:pPr>
            <w:r>
              <w:rPr>
                <w:rFonts w:hint="eastAsia" w:ascii="宋体" w:hAnsi="宋体"/>
                <w:color w:val="auto"/>
                <w:szCs w:val="21"/>
              </w:rPr>
              <w:t>差(1.0分)：投入计划与进度计划呼应，基本满足施工要求，调配投入计划基本合理。</w:t>
            </w:r>
          </w:p>
          <w:p>
            <w:pPr>
              <w:tabs>
                <w:tab w:val="left" w:pos="1080"/>
              </w:tabs>
              <w:spacing w:line="400" w:lineRule="exact"/>
              <w:ind w:firstLine="105" w:firstLineChars="50"/>
              <w:rPr>
                <w:rFonts w:ascii="宋体" w:hAnsi="宋体"/>
                <w:color w:val="auto"/>
                <w:szCs w:val="21"/>
              </w:rPr>
            </w:pPr>
            <w:r>
              <w:rPr>
                <w:rFonts w:hint="eastAsia" w:ascii="宋体" w:hAnsi="宋体"/>
                <w:color w:val="auto"/>
                <w:szCs w:val="21"/>
              </w:rPr>
              <w:t>良(3.0分)：投入计划与进度计划呼应，满足施工要求，调配投入计划合理、准确。</w:t>
            </w:r>
          </w:p>
          <w:p>
            <w:pPr>
              <w:tabs>
                <w:tab w:val="left" w:pos="1080"/>
              </w:tabs>
              <w:spacing w:line="400" w:lineRule="exact"/>
              <w:ind w:firstLine="105" w:firstLineChars="50"/>
              <w:rPr>
                <w:rFonts w:ascii="宋体" w:hAnsi="宋体" w:cs="宋体"/>
                <w:color w:val="auto"/>
                <w:spacing w:val="89"/>
              </w:rPr>
            </w:pPr>
            <w:r>
              <w:rPr>
                <w:rFonts w:hint="eastAsia" w:ascii="宋体" w:hAnsi="宋体"/>
                <w:color w:val="auto"/>
                <w:szCs w:val="21"/>
              </w:rPr>
              <w:t>优(5.0分)：投入计划与进度计划呼应，较好满足施工要求，调配投入计划合理、准确。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1530" w:type="dxa"/>
            <w:vAlign w:val="center"/>
          </w:tcPr>
          <w:p>
            <w:pPr>
              <w:tabs>
                <w:tab w:val="left" w:pos="1080"/>
              </w:tabs>
              <w:spacing w:line="320" w:lineRule="exact"/>
              <w:ind w:firstLine="210" w:firstLineChars="100"/>
              <w:jc w:val="center"/>
              <w:rPr>
                <w:rFonts w:ascii="宋体" w:hAnsi="宋体"/>
                <w:color w:val="000000"/>
                <w:szCs w:val="21"/>
              </w:rPr>
            </w:pPr>
            <w:r>
              <w:rPr>
                <w:rFonts w:hint="eastAsia" w:ascii="宋体" w:hAnsi="宋体"/>
                <w:color w:val="000000"/>
                <w:szCs w:val="21"/>
              </w:rPr>
              <w:t>2.2.2（1）</w:t>
            </w:r>
          </w:p>
        </w:tc>
        <w:tc>
          <w:tcPr>
            <w:tcW w:w="1209" w:type="dxa"/>
            <w:vAlign w:val="center"/>
          </w:tcPr>
          <w:p>
            <w:pPr>
              <w:tabs>
                <w:tab w:val="left" w:pos="1080"/>
              </w:tabs>
              <w:spacing w:line="320" w:lineRule="exact"/>
              <w:rPr>
                <w:rFonts w:hint="eastAsia" w:ascii="宋体" w:hAnsi="宋体"/>
                <w:color w:val="000000"/>
                <w:szCs w:val="21"/>
              </w:rPr>
            </w:pPr>
            <w:r>
              <w:rPr>
                <w:rFonts w:hint="eastAsia" w:ascii="宋体" w:hAnsi="宋体"/>
                <w:color w:val="000000"/>
                <w:szCs w:val="21"/>
              </w:rPr>
              <w:t>评标基准价计算方法</w:t>
            </w:r>
          </w:p>
        </w:tc>
        <w:tc>
          <w:tcPr>
            <w:tcW w:w="6147" w:type="dxa"/>
            <w:gridSpan w:val="2"/>
            <w:vAlign w:val="center"/>
          </w:tcPr>
          <w:p>
            <w:pPr>
              <w:tabs>
                <w:tab w:val="left" w:pos="1080"/>
              </w:tabs>
              <w:spacing w:line="320" w:lineRule="exact"/>
              <w:ind w:firstLine="210" w:firstLineChars="100"/>
              <w:rPr>
                <w:rFonts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w:t>
            </w:r>
            <w:r>
              <w:rPr>
                <w:rFonts w:hint="eastAsia" w:ascii="宋体" w:hAnsi="宋体"/>
                <w:color w:val="auto"/>
                <w:szCs w:val="21"/>
              </w:rPr>
              <w:t>）评标基准价的确定：</w:t>
            </w:r>
          </w:p>
          <w:p>
            <w:pPr>
              <w:tabs>
                <w:tab w:val="left" w:pos="1080"/>
              </w:tabs>
              <w:spacing w:line="320" w:lineRule="exact"/>
              <w:ind w:firstLine="210" w:firstLineChars="100"/>
              <w:rPr>
                <w:rFonts w:ascii="宋体" w:hAnsi="宋体"/>
                <w:b/>
                <w:color w:val="auto"/>
                <w:szCs w:val="21"/>
              </w:rPr>
            </w:pPr>
            <w:r>
              <w:rPr>
                <w:rFonts w:hint="eastAsia" w:ascii="宋体" w:hAnsi="宋体"/>
                <w:b/>
                <w:color w:val="auto"/>
                <w:szCs w:val="21"/>
              </w:rPr>
              <w:t>1.除初步评审为废标之外，供应商的评标价在招标人设定的招标控制价范围的，参加评标基准价计算，不在此范围内的，不参加评标基准价计算。</w:t>
            </w:r>
          </w:p>
          <w:p>
            <w:pPr>
              <w:pStyle w:val="42"/>
              <w:rPr>
                <w:rFonts w:ascii="宋体" w:hAnsi="宋体" w:eastAsia="宋体" w:cs="宋体"/>
                <w:color w:val="auto"/>
                <w:spacing w:val="89"/>
                <w:sz w:val="21"/>
              </w:rPr>
            </w:pPr>
            <w:r>
              <w:rPr>
                <w:rFonts w:hint="eastAsia" w:ascii="宋体" w:hAnsi="宋体" w:eastAsia="宋体" w:cs="Times New Roman"/>
                <w:b/>
                <w:color w:val="auto"/>
                <w:kern w:val="2"/>
                <w:sz w:val="21"/>
                <w:szCs w:val="21"/>
                <w:lang w:val="en-US" w:eastAsia="zh-CN" w:bidi="ar-SA"/>
              </w:rPr>
              <w:t>2.计算所有满足本计算方法第1点规定的评标价的算术平均值作为评标基准价。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top"/>
          </w:tcPr>
          <w:p>
            <w:pPr>
              <w:tabs>
                <w:tab w:val="left" w:pos="1080"/>
              </w:tabs>
              <w:spacing w:line="360" w:lineRule="exact"/>
              <w:rPr>
                <w:rFonts w:ascii="宋体" w:hAnsi="宋体"/>
                <w:color w:val="000000"/>
                <w:szCs w:val="21"/>
              </w:rPr>
            </w:pPr>
            <w:r>
              <w:rPr>
                <w:rFonts w:hint="eastAsia" w:ascii="宋体" w:hAnsi="宋体"/>
                <w:color w:val="000000"/>
                <w:szCs w:val="21"/>
              </w:rPr>
              <w:t>2.2.2（2）</w:t>
            </w:r>
          </w:p>
        </w:tc>
        <w:tc>
          <w:tcPr>
            <w:tcW w:w="1209" w:type="dxa"/>
            <w:vAlign w:val="top"/>
          </w:tcPr>
          <w:p>
            <w:pPr>
              <w:tabs>
                <w:tab w:val="left" w:pos="1080"/>
              </w:tabs>
              <w:spacing w:line="360" w:lineRule="exact"/>
              <w:rPr>
                <w:rFonts w:hint="eastAsia" w:ascii="宋体" w:hAnsi="宋体"/>
                <w:color w:val="000000"/>
                <w:szCs w:val="21"/>
              </w:rPr>
            </w:pPr>
            <w:r>
              <w:rPr>
                <w:rFonts w:hint="eastAsia" w:ascii="宋体" w:hAnsi="宋体"/>
                <w:color w:val="000000"/>
                <w:szCs w:val="21"/>
              </w:rPr>
              <w:t>评标价的偏差率计算公式</w:t>
            </w:r>
          </w:p>
        </w:tc>
        <w:tc>
          <w:tcPr>
            <w:tcW w:w="6147" w:type="dxa"/>
            <w:gridSpan w:val="2"/>
            <w:vAlign w:val="center"/>
          </w:tcPr>
          <w:p>
            <w:pPr>
              <w:tabs>
                <w:tab w:val="left" w:pos="1080"/>
              </w:tabs>
              <w:spacing w:line="360" w:lineRule="exact"/>
              <w:rPr>
                <w:rFonts w:ascii="宋体" w:hAnsi="宋体"/>
                <w:b/>
                <w:color w:val="auto"/>
                <w:szCs w:val="21"/>
              </w:rPr>
            </w:pPr>
            <w:r>
              <w:rPr>
                <w:rFonts w:ascii="宋体" w:hAnsi="宋体" w:eastAsia="宋体" w:cs="宋体"/>
                <w:sz w:val="24"/>
                <w:szCs w:val="24"/>
              </w:rPr>
              <w:t>报价得分=（评标基准价/某供应商报价）×价格权值×100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center"/>
          </w:tcPr>
          <w:p>
            <w:pPr>
              <w:tabs>
                <w:tab w:val="left" w:pos="1080"/>
              </w:tabs>
              <w:spacing w:line="360" w:lineRule="exact"/>
              <w:rPr>
                <w:rFonts w:hint="eastAsia" w:ascii="宋体" w:hAnsi="宋体"/>
                <w:color w:val="000000"/>
                <w:szCs w:val="21"/>
              </w:rPr>
            </w:pPr>
            <w:r>
              <w:rPr>
                <w:rFonts w:hint="eastAsia" w:ascii="宋体" w:hAnsi="宋体"/>
                <w:color w:val="000000"/>
                <w:szCs w:val="21"/>
              </w:rPr>
              <w:t>2.2.2（3）</w:t>
            </w:r>
          </w:p>
        </w:tc>
        <w:tc>
          <w:tcPr>
            <w:tcW w:w="1209" w:type="dxa"/>
            <w:vAlign w:val="center"/>
          </w:tcPr>
          <w:p>
            <w:pPr>
              <w:tabs>
                <w:tab w:val="left" w:pos="1080"/>
              </w:tabs>
              <w:spacing w:line="360" w:lineRule="exact"/>
              <w:rPr>
                <w:rFonts w:hint="eastAsia" w:ascii="宋体" w:hAnsi="宋体"/>
                <w:color w:val="000000"/>
                <w:szCs w:val="21"/>
              </w:rPr>
            </w:pPr>
            <w:r>
              <w:rPr>
                <w:rFonts w:hint="eastAsia" w:ascii="宋体" w:hAnsi="宋体"/>
                <w:color w:val="000000"/>
                <w:szCs w:val="21"/>
                <w:lang w:val="en-US" w:eastAsia="zh-CN"/>
              </w:rPr>
              <w:t>价格</w:t>
            </w:r>
            <w:r>
              <w:rPr>
                <w:rFonts w:hint="eastAsia" w:ascii="宋体" w:hAnsi="宋体"/>
                <w:color w:val="000000"/>
                <w:szCs w:val="21"/>
              </w:rPr>
              <w:t>（满分60分）</w:t>
            </w:r>
          </w:p>
          <w:p>
            <w:pPr>
              <w:tabs>
                <w:tab w:val="left" w:pos="1080"/>
              </w:tabs>
              <w:spacing w:line="360" w:lineRule="exact"/>
              <w:rPr>
                <w:rFonts w:hint="eastAsia" w:ascii="宋体" w:hAnsi="宋体"/>
                <w:color w:val="000000"/>
                <w:szCs w:val="21"/>
              </w:rPr>
            </w:pPr>
          </w:p>
        </w:tc>
        <w:tc>
          <w:tcPr>
            <w:tcW w:w="6147" w:type="dxa"/>
            <w:gridSpan w:val="2"/>
            <w:vAlign w:val="center"/>
          </w:tcPr>
          <w:p>
            <w:pPr>
              <w:pStyle w:val="18"/>
              <w:ind w:firstLine="210"/>
              <w:rPr>
                <w:rFonts w:hint="eastAsia" w:hAnsi="宋体" w:cs="宋体"/>
                <w:color w:val="auto"/>
                <w:sz w:val="21"/>
                <w:lang w:val="en-US" w:eastAsia="zh-CN"/>
              </w:rPr>
            </w:pPr>
            <w:r>
              <w:rPr>
                <w:rFonts w:hint="eastAsia" w:hAnsi="宋体" w:cs="宋体"/>
                <w:color w:val="auto"/>
                <w:sz w:val="21"/>
                <w:lang w:val="en-US" w:eastAsia="zh-CN"/>
              </w:rPr>
              <w:t>以评标基准价为最高分60分，采用内插法计算，竞标人最终报价每高于评标基准价1％的扣1分，每低于评标基准价1％的扣0.5分，计算出竞标人的投标报价得分。</w:t>
            </w:r>
          </w:p>
          <w:p>
            <w:pPr>
              <w:pStyle w:val="18"/>
              <w:ind w:firstLine="210"/>
              <w:rPr>
                <w:rFonts w:hint="eastAsia"/>
                <w:color w:val="auto"/>
                <w:lang w:val="en-US" w:eastAsia="zh-CN"/>
              </w:rPr>
            </w:pPr>
            <w:r>
              <w:rPr>
                <w:rFonts w:hint="eastAsia" w:hAnsi="宋体" w:cs="宋体"/>
                <w:color w:val="auto"/>
                <w:sz w:val="21"/>
                <w:lang w:val="en-US" w:eastAsia="zh-CN"/>
              </w:rPr>
              <w:t>【备注：小数点后四舍五入保留两位小数】</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39"/>
        <w:keepNext w:val="0"/>
        <w:keepLines w:val="0"/>
        <w:pageBreakBefore/>
        <w:widowControl w:val="0"/>
        <w:kinsoku/>
        <w:wordWrap/>
        <w:overflowPunct/>
        <w:topLinePunct w:val="0"/>
        <w:autoSpaceDE/>
        <w:autoSpaceDN/>
        <w:bidi w:val="0"/>
        <w:adjustRightInd w:val="0"/>
        <w:snapToGrid w:val="0"/>
        <w:spacing w:after="313" w:afterLines="100" w:line="360" w:lineRule="auto"/>
        <w:ind w:left="0" w:leftChars="0" w:right="0" w:rightChars="0" w:firstLine="0" w:firstLineChars="0"/>
        <w:jc w:val="center"/>
        <w:textAlignment w:val="auto"/>
        <w:outlineLvl w:val="9"/>
        <w:rPr>
          <w:rFonts w:hint="eastAsia"/>
          <w:lang w:val="en-US" w:eastAsia="zh-CN"/>
        </w:rPr>
      </w:pPr>
      <w:r>
        <w:rPr>
          <w:rFonts w:hint="eastAsia"/>
          <w:lang w:val="en-US" w:eastAsia="zh-CN"/>
        </w:rPr>
        <w:t>第六章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18" w:name="_Toc30694"/>
      <w:bookmarkStart w:id="19" w:name="_Toc31723070"/>
      <w:bookmarkStart w:id="20" w:name="_Toc35611516"/>
      <w:bookmarkStart w:id="21" w:name="_Toc31728084"/>
      <w:bookmarkStart w:id="22" w:name="_Toc35611438"/>
      <w:bookmarkStart w:id="23" w:name="_Toc44229899"/>
      <w:r>
        <w:rPr>
          <w:rFonts w:hint="eastAsia" w:ascii="宋体" w:hAnsi="宋体" w:eastAsia="宋体" w:cs="宋体"/>
          <w:b w:val="0"/>
          <w:bCs w:val="0"/>
          <w:sz w:val="32"/>
          <w:szCs w:val="32"/>
        </w:rPr>
        <w:t>一、资格证明文件格式</w:t>
      </w:r>
      <w:bookmarkEnd w:id="18"/>
      <w:bookmarkEnd w:id="19"/>
      <w:bookmarkEnd w:id="20"/>
      <w:bookmarkEnd w:id="21"/>
      <w:bookmarkEnd w:id="22"/>
      <w:bookmarkEnd w:id="23"/>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6"/>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6"/>
        <w:rPr>
          <w:rFonts w:hint="eastAsia"/>
        </w:rPr>
      </w:pPr>
    </w:p>
    <w:p>
      <w:pPr>
        <w:pStyle w:val="6"/>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7"/>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蚂蚁洋货南宁航洋店租赁场所拆除装修恢复毛坯工程采购</w:t>
      </w:r>
    </w:p>
    <w:tbl>
      <w:tblPr>
        <w:tblStyle w:val="19"/>
        <w:tblpPr w:leftFromText="180" w:rightFromText="180" w:vertAnchor="text" w:horzAnchor="page" w:tblpX="1560" w:tblpY="250"/>
        <w:tblOverlap w:val="never"/>
        <w:tblW w:w="9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5"/>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8419" w:hRule="atLeast"/>
        </w:trPr>
        <w:tc>
          <w:tcPr>
            <w:tcW w:w="9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sz w:val="21"/>
                <w:szCs w:val="21"/>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bCs w:val="0"/>
                <w:color w:val="auto"/>
                <w:kern w:val="0"/>
                <w:sz w:val="22"/>
                <w:szCs w:val="22"/>
                <w:highlight w:val="none"/>
                <w:u w:val="none"/>
                <w:lang w:val="en-US" w:eastAsia="zh-CN" w:bidi="ar"/>
              </w:rPr>
              <w:t>本</w:t>
            </w:r>
            <w:r>
              <w:rPr>
                <w:rFonts w:hint="eastAsia" w:ascii="宋体" w:hAnsi="宋体" w:eastAsia="宋体" w:cs="宋体"/>
                <w:bCs w:val="0"/>
                <w:color w:val="auto"/>
                <w:kern w:val="0"/>
                <w:sz w:val="22"/>
                <w:szCs w:val="22"/>
                <w:highlight w:val="none"/>
                <w:u w:val="none"/>
                <w:lang w:bidi="ar"/>
              </w:rPr>
              <w:t>报价</w:t>
            </w:r>
            <w:r>
              <w:rPr>
                <w:rFonts w:hint="eastAsia" w:ascii="宋体" w:hAnsi="宋体" w:eastAsia="宋体" w:cs="宋体"/>
                <w:bCs w:val="0"/>
                <w:color w:val="auto"/>
                <w:kern w:val="0"/>
                <w:sz w:val="22"/>
                <w:szCs w:val="22"/>
                <w:highlight w:val="none"/>
                <w:u w:val="none"/>
                <w:lang w:val="en-US" w:eastAsia="zh-CN" w:bidi="ar"/>
              </w:rPr>
              <w:t>包</w:t>
            </w:r>
            <w:r>
              <w:rPr>
                <w:rFonts w:hint="eastAsia" w:ascii="宋体" w:hAnsi="宋体" w:eastAsia="宋体" w:cs="宋体"/>
                <w:bCs w:val="0"/>
                <w:color w:val="auto"/>
                <w:kern w:val="0"/>
                <w:sz w:val="22"/>
                <w:szCs w:val="22"/>
                <w:highlight w:val="none"/>
                <w:u w:val="none"/>
                <w:lang w:bidi="ar"/>
              </w:rPr>
              <w:t>含以下部分：</w:t>
            </w:r>
          </w:p>
          <w:p>
            <w:pPr>
              <w:spacing w:line="360" w:lineRule="auto"/>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1.本次提供的报价需涵盖本次施工所需工程量内容；</w:t>
            </w:r>
          </w:p>
          <w:p>
            <w:pPr>
              <w:spacing w:line="360" w:lineRule="auto"/>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2.涵盖施工工程保险费用；</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lang w:val="en-US" w:eastAsia="zh-CN"/>
              </w:rPr>
              <w:t>3.需为含税报价，提供增值税专用发票。</w:t>
            </w:r>
          </w:p>
        </w:tc>
      </w:tr>
    </w:tbl>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w:t>
      </w:r>
      <w:r>
        <w:rPr>
          <w:rFonts w:hint="eastAsia" w:ascii="宋体" w:hAnsi="宋体" w:eastAsia="宋体" w:cs="宋体"/>
          <w:b w:val="0"/>
          <w:bCs w:val="0"/>
          <w:color w:val="000000" w:themeColor="text1"/>
          <w:sz w:val="28"/>
          <w:szCs w:val="28"/>
          <w:lang w:val="en-US" w:eastAsia="zh-CN"/>
          <w14:textFill>
            <w14:solidFill>
              <w14:schemeClr w14:val="tx1"/>
            </w14:solidFill>
          </w14:textFill>
        </w:rPr>
        <w:t>蚂蚁洋货南宁航洋店租赁场所拆除装修恢复毛坯工程</w:t>
      </w:r>
      <w:r>
        <w:rPr>
          <w:rFonts w:hint="eastAsia" w:ascii="宋体" w:hAnsi="宋体" w:eastAsia="宋体" w:cs="宋体"/>
          <w:b w:val="0"/>
          <w:bCs w:val="0"/>
          <w:sz w:val="28"/>
          <w:szCs w:val="28"/>
          <w:lang w:val="en-US" w:eastAsia="zh-CN"/>
        </w:rPr>
        <w:t xml:space="preserve"> </w:t>
      </w:r>
    </w:p>
    <w:tbl>
      <w:tblPr>
        <w:tblStyle w:val="19"/>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706"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1"/>
                <w:szCs w:val="21"/>
                <w:highlight w:val="none"/>
                <w:u w:val="none"/>
                <w:lang w:val="en-US" w:eastAsia="zh-CN" w:bidi="ar"/>
              </w:rPr>
              <w:t>交付使用期</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vAlign w:val="center"/>
          </w:tcPr>
          <w:p>
            <w:pPr>
              <w:widowControl/>
              <w:adjustRightInd w:val="0"/>
              <w:snapToGrid w:val="0"/>
              <w:spacing w:line="240" w:lineRule="auto"/>
              <w:jc w:val="center"/>
              <w:rPr>
                <w:rFonts w:hint="eastAsia" w:ascii="宋体" w:hAnsi="宋体" w:eastAsia="宋体" w:cs="宋体"/>
                <w:sz w:val="24"/>
                <w:szCs w:val="24"/>
              </w:rPr>
            </w:pPr>
            <w:r>
              <w:rPr>
                <w:rFonts w:hint="eastAsia" w:ascii="宋体" w:hAnsi="宋体" w:eastAsia="宋体" w:cs="宋体"/>
                <w:b/>
                <w:bCs w:val="0"/>
                <w:color w:val="auto"/>
                <w:szCs w:val="21"/>
                <w:highlight w:val="none"/>
              </w:rPr>
              <w:t>报价要求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color w:val="auto"/>
                <w:kern w:val="0"/>
                <w:sz w:val="22"/>
                <w:highlight w:val="none"/>
                <w:u w:val="none"/>
                <w:lang w:bidi="ar"/>
              </w:rPr>
              <w:t>售后服务要求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lang w:eastAsia="zh-CN"/>
              </w:rPr>
            </w:pPr>
            <w:r>
              <w:rPr>
                <w:rFonts w:hint="eastAsia" w:ascii="宋体" w:hAnsi="宋体" w:eastAsia="宋体" w:cs="宋体"/>
                <w:b/>
                <w:bCs/>
                <w:color w:val="auto"/>
                <w:kern w:val="0"/>
                <w:sz w:val="22"/>
                <w:highlight w:val="none"/>
                <w:u w:val="none"/>
                <w:lang w:val="en-US" w:eastAsia="zh-CN" w:bidi="ar"/>
              </w:rPr>
              <w:t>施工要求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center"/>
          </w:tcPr>
          <w:p>
            <w:pPr>
              <w:snapToGrid w:val="0"/>
              <w:spacing w:before="120" w:beforeLines="50"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2891" w:type="dxa"/>
            <w:vAlign w:val="center"/>
          </w:tcPr>
          <w:p>
            <w:pPr>
              <w:snapToGrid w:val="0"/>
              <w:spacing w:before="120" w:beforeLines="50" w:line="360" w:lineRule="auto"/>
              <w:jc w:val="center"/>
              <w:rPr>
                <w:rFonts w:hint="eastAsia" w:ascii="宋体" w:hAnsi="宋体" w:eastAsia="宋体" w:cs="宋体"/>
                <w:sz w:val="24"/>
                <w:szCs w:val="24"/>
              </w:rPr>
            </w:pPr>
          </w:p>
        </w:tc>
        <w:tc>
          <w:tcPr>
            <w:tcW w:w="2706" w:type="dxa"/>
            <w:vAlign w:val="center"/>
          </w:tcPr>
          <w:p>
            <w:pPr>
              <w:snapToGrid w:val="0"/>
              <w:spacing w:before="120" w:beforeLines="50" w:line="360" w:lineRule="auto"/>
              <w:jc w:val="center"/>
              <w:rPr>
                <w:rFonts w:hint="eastAsia" w:ascii="宋体" w:hAnsi="宋体" w:eastAsia="宋体" w:cs="宋体"/>
                <w:sz w:val="24"/>
                <w:szCs w:val="24"/>
              </w:rPr>
            </w:pPr>
          </w:p>
        </w:tc>
        <w:tc>
          <w:tcPr>
            <w:tcW w:w="1221" w:type="dxa"/>
            <w:vAlign w:val="center"/>
          </w:tcPr>
          <w:p>
            <w:pPr>
              <w:snapToGrid w:val="0"/>
              <w:spacing w:before="120" w:beforeLines="50" w:line="360" w:lineRule="auto"/>
              <w:jc w:val="center"/>
              <w:rPr>
                <w:rFonts w:hint="eastAsia" w:ascii="宋体" w:hAnsi="宋体" w:eastAsia="宋体" w:cs="宋体"/>
                <w:sz w:val="24"/>
                <w:szCs w:val="24"/>
              </w:rPr>
            </w:pPr>
          </w:p>
        </w:tc>
      </w:tr>
    </w:tbl>
    <w:p>
      <w:pPr>
        <w:pStyle w:val="15"/>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竞争性磋商</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6"/>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6"/>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default"/>
          <w:lang w:val="en-US" w:eastAsia="zh-CN"/>
        </w:rPr>
      </w:pPr>
    </w:p>
    <w:sectPr>
      <w:headerReference r:id="rId3" w:type="default"/>
      <w:footerReference r:id="rId4" w:type="default"/>
      <w:pgSz w:w="11906" w:h="16838"/>
      <w:pgMar w:top="1440" w:right="1417" w:bottom="1440" w:left="1531"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字魂36号-正文宋楷">
    <w:altName w:val="宋体"/>
    <w:panose1 w:val="00000000000000000000"/>
    <w:charset w:val="86"/>
    <w:family w:val="auto"/>
    <w:pitch w:val="default"/>
    <w:sig w:usb0="00000000" w:usb1="00000000" w:usb2="0000001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第</w:t>
    </w:r>
    <w:r>
      <w:t xml:space="preserve"> </w:t>
    </w:r>
    <w:r>
      <w:rPr>
        <w:b w:val="0"/>
        <w:bCs/>
      </w:rPr>
      <w:fldChar w:fldCharType="begin"/>
    </w:r>
    <w:r>
      <w:rPr>
        <w:bCs/>
      </w:rPr>
      <w:instrText xml:space="preserve"> PAGE </w:instrText>
    </w:r>
    <w:r>
      <w:rPr>
        <w:b w:val="0"/>
        <w:bCs/>
      </w:rPr>
      <w:fldChar w:fldCharType="separate"/>
    </w:r>
    <w:r>
      <w:rPr>
        <w:bCs/>
      </w:rPr>
      <w:t>1</w:t>
    </w:r>
    <w:r>
      <w:rPr>
        <w:b w:val="0"/>
        <w:bCs/>
      </w:rPr>
      <w:fldChar w:fldCharType="end"/>
    </w:r>
    <w:r>
      <w:t xml:space="preserve"> </w:t>
    </w:r>
    <w:r>
      <w:rPr>
        <w:rFonts w:hint="eastAsia"/>
      </w:rPr>
      <w:t>页 共</w:t>
    </w:r>
    <w:r>
      <w:t xml:space="preserve"> </w:t>
    </w:r>
    <w:r>
      <w:rPr>
        <w:b w:val="0"/>
        <w:bCs/>
      </w:rPr>
      <w:fldChar w:fldCharType="begin"/>
    </w:r>
    <w:r>
      <w:rPr>
        <w:b w:val="0"/>
        <w:bCs/>
      </w:rPr>
      <w:instrText xml:space="preserve"> SECTIONPAGES   \* MERGEFORMAT </w:instrText>
    </w:r>
    <w:r>
      <w:rPr>
        <w:b w:val="0"/>
        <w:bCs/>
      </w:rPr>
      <w:fldChar w:fldCharType="separate"/>
    </w:r>
    <w:r>
      <w:rPr>
        <w:b w:val="0"/>
        <w:bCs/>
      </w:rPr>
      <w:t>6</w:t>
    </w:r>
    <w:r>
      <w:rPr>
        <w:b w:val="0"/>
        <w:bCs/>
      </w:rPr>
      <w:fldChar w:fldCharType="end"/>
    </w:r>
    <w:r>
      <w:rPr>
        <w:b w:val="0"/>
        <w:bCs/>
      </w:rPr>
      <w:t xml:space="preserve"> </w:t>
    </w:r>
    <w:r>
      <w:rPr>
        <w:rFonts w:hint="eastAsia"/>
        <w:b w:val="0"/>
        <w:bCs/>
      </w:rPr>
      <w:t>页</w:t>
    </w:r>
  </w:p>
  <w:p>
    <w:pPr>
      <w:pStyle w:val="13"/>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r>
      <mc:AlternateContent>
        <mc:Choice Requires="wps">
          <w:drawing>
            <wp:anchor distT="45720" distB="45720" distL="114300" distR="114300" simplePos="0" relativeHeight="251660288" behindDoc="1" locked="0" layoutInCell="1" allowOverlap="1">
              <wp:simplePos x="0" y="0"/>
              <wp:positionH relativeFrom="column">
                <wp:posOffset>1400810</wp:posOffset>
              </wp:positionH>
              <wp:positionV relativeFrom="paragraph">
                <wp:posOffset>-302260</wp:posOffset>
              </wp:positionV>
              <wp:extent cx="2623820" cy="181419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2623820" cy="1814195"/>
                      </a:xfrm>
                      <a:prstGeom prst="rect">
                        <a:avLst/>
                      </a:prstGeom>
                      <a:noFill/>
                      <a:ln>
                        <a:noFill/>
                      </a:ln>
                    </wps:spPr>
                    <wps:txbx>
                      <w:txbxContent>
                        <w:p>
                          <w:pPr>
                            <w:spacing w:line="360" w:lineRule="atLeast"/>
                            <w:rPr>
                              <w:rFonts w:hint="eastAsia"/>
                              <w:b/>
                              <w:bCs/>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10.3pt;margin-top:-23.8pt;height:142.85pt;width:206.6pt;mso-wrap-distance-bottom:3.6pt;mso-wrap-distance-left:9pt;mso-wrap-distance-right:9pt;mso-wrap-distance-top:3.6pt;z-index:-251656192;mso-width-relative:page;mso-height-relative:margin;mso-height-percent:200;" filled="f" stroked="f" coordsize="21600,21600" o:gfxdata="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edPV2AAAAAsBAAAPAAAAAAAAAAEAIAAAACIAAABkcnMvZG93bnJldi54bWxQSwECFAAU&#10;AAAACACHTuJAvFzRaLgBAABpAwAADgAAAAAAAAABACAAAAAnAQAAZHJzL2Uyb0RvYy54bWxQSwUG&#10;AAAAAAYABgBZAQAAUQUAAAAA&#10;">
              <v:fill on="f" focussize="0,0"/>
              <v:stroke on="f"/>
              <v:imagedata o:title=""/>
              <o:lock v:ext="edit" aspectratio="f"/>
              <v:textbox style="mso-fit-shape-to-text:t;">
                <w:txbxContent>
                  <w:p>
                    <w:pPr>
                      <w:spacing w:line="360" w:lineRule="atLeast"/>
                      <w:rPr>
                        <w:rFonts w:hint="eastAsia"/>
                        <w:b/>
                        <w:bCs/>
                        <w:sz w:val="18"/>
                        <w:szCs w:val="18"/>
                      </w:rPr>
                    </w:pPr>
                  </w:p>
                </w:txbxContent>
              </v:textbox>
              <w10:wrap type="square"/>
            </v:shape>
          </w:pict>
        </mc:Fallback>
      </mc:AlternateContent>
    </w:r>
    <w:r>
      <mc:AlternateContent>
        <mc:Choice Requires="wps">
          <w:drawing>
            <wp:anchor distT="45720" distB="45720" distL="114300" distR="114300" simplePos="0" relativeHeight="251659264" behindDoc="0" locked="0" layoutInCell="1" allowOverlap="1">
              <wp:simplePos x="0" y="0"/>
              <wp:positionH relativeFrom="column">
                <wp:posOffset>4705985</wp:posOffset>
              </wp:positionH>
              <wp:positionV relativeFrom="paragraph">
                <wp:posOffset>-294640</wp:posOffset>
              </wp:positionV>
              <wp:extent cx="1750060" cy="1814195"/>
              <wp:effectExtent l="0" t="0" r="2540" b="14605"/>
              <wp:wrapSquare wrapText="bothSides"/>
              <wp:docPr id="1" name="文本框 1"/>
              <wp:cNvGraphicFramePr/>
              <a:graphic xmlns:a="http://schemas.openxmlformats.org/drawingml/2006/main">
                <a:graphicData uri="http://schemas.microsoft.com/office/word/2010/wordprocessingShape">
                  <wps:wsp>
                    <wps:cNvSpPr txBox="1"/>
                    <wps:spPr>
                      <a:xfrm>
                        <a:off x="0" y="0"/>
                        <a:ext cx="1750060" cy="1814195"/>
                      </a:xfrm>
                      <a:prstGeom prst="rect">
                        <a:avLst/>
                      </a:prstGeom>
                      <a:solidFill>
                        <a:srgbClr val="FFFFFF"/>
                      </a:solidFill>
                      <a:ln>
                        <a:noFill/>
                      </a:ln>
                    </wps:spPr>
                    <wps:txbx>
                      <w:txbxContent>
                        <w:p>
                          <w:pPr>
                            <w:spacing w:line="360" w:lineRule="exact"/>
                            <w:ind w:right="180"/>
                            <w:jc w:val="right"/>
                            <w:rPr>
                              <w:sz w:val="18"/>
                              <w:szCs w:val="18"/>
                            </w:rPr>
                          </w:pP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70.55pt;margin-top:-23.2pt;height:142.85pt;width:137.8pt;mso-wrap-distance-bottom:3.6pt;mso-wrap-distance-left:9pt;mso-wrap-distance-right:9pt;mso-wrap-distance-top:3.6pt;z-index:251659264;mso-width-relative:page;mso-height-relative:margin;mso-height-percent:200;" fillcolor="#FFFFFF" filled="t" stroked="f" coordsize="21600,21600" o:gfxdata="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&#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9I8BXaAAAADAEAAA8AAAAAAAAAAQAgAAAAIgAAAGRy&#10;cy9kb3ducmV2LnhtbFBLAQIUABQAAAAIAIdO4kD80sBMygEAAJIDAAAOAAAAAAAAAAEAIAAAACkB&#10;AABkcnMvZTJvRG9jLnhtbFBLBQYAAAAABgAGAFkBAABlBQAAAAA=&#10;">
              <v:fill on="t" focussize="0,0"/>
              <v:stroke on="f"/>
              <v:imagedata o:title=""/>
              <o:lock v:ext="edit" aspectratio="f"/>
              <v:textbox style="mso-fit-shape-to-text:t;">
                <w:txbxContent>
                  <w:p>
                    <w:pPr>
                      <w:spacing w:line="360" w:lineRule="exact"/>
                      <w:ind w:right="180"/>
                      <w:jc w:val="right"/>
                      <w:rPr>
                        <w:sz w:val="18"/>
                        <w:szCs w:val="18"/>
                      </w:rPr>
                    </w:pPr>
                  </w:p>
                </w:txbxContent>
              </v:textbox>
              <w10:wrap type="square"/>
            </v:shape>
          </w:pict>
        </mc:Fallback>
      </mc:AlternateContent>
    </w:r>
  </w:p>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abstractNum w:abstractNumId="2">
    <w:nsid w:val="DCCE960A"/>
    <w:multiLevelType w:val="singleLevel"/>
    <w:tmpl w:val="DCCE960A"/>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ZmE4NWE3ZTc3OGU5YjdkZmMwYmZkYzQxMzFmYTM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4D0F"/>
    <w:rsid w:val="018B2C0E"/>
    <w:rsid w:val="01B11A47"/>
    <w:rsid w:val="01E75868"/>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634469"/>
    <w:rsid w:val="05A017DF"/>
    <w:rsid w:val="05DD2775"/>
    <w:rsid w:val="060D56C3"/>
    <w:rsid w:val="06121BBF"/>
    <w:rsid w:val="0629197A"/>
    <w:rsid w:val="06351D6F"/>
    <w:rsid w:val="06551E88"/>
    <w:rsid w:val="06886D38"/>
    <w:rsid w:val="06971594"/>
    <w:rsid w:val="06B57D92"/>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3C026A"/>
    <w:rsid w:val="088E7380"/>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A33AF7"/>
    <w:rsid w:val="0CC7252F"/>
    <w:rsid w:val="0CCA6F1A"/>
    <w:rsid w:val="0CD80FB6"/>
    <w:rsid w:val="0CDB634D"/>
    <w:rsid w:val="0D2640FB"/>
    <w:rsid w:val="0D5D5AC8"/>
    <w:rsid w:val="0DAD282A"/>
    <w:rsid w:val="0DCD73D4"/>
    <w:rsid w:val="0DE84494"/>
    <w:rsid w:val="0E157483"/>
    <w:rsid w:val="0EB473DE"/>
    <w:rsid w:val="0F205090"/>
    <w:rsid w:val="0F31498D"/>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2A27490"/>
    <w:rsid w:val="12B427A8"/>
    <w:rsid w:val="130D010A"/>
    <w:rsid w:val="138758AD"/>
    <w:rsid w:val="144C726A"/>
    <w:rsid w:val="14516A37"/>
    <w:rsid w:val="147075B1"/>
    <w:rsid w:val="14C602DB"/>
    <w:rsid w:val="14D473D9"/>
    <w:rsid w:val="14DA26BB"/>
    <w:rsid w:val="14E95E62"/>
    <w:rsid w:val="155415AA"/>
    <w:rsid w:val="15627EDD"/>
    <w:rsid w:val="158D5A96"/>
    <w:rsid w:val="159B231F"/>
    <w:rsid w:val="162C5573"/>
    <w:rsid w:val="167772FE"/>
    <w:rsid w:val="16A73FF1"/>
    <w:rsid w:val="16CE2DF1"/>
    <w:rsid w:val="175244AC"/>
    <w:rsid w:val="175F32E3"/>
    <w:rsid w:val="176A0626"/>
    <w:rsid w:val="176B3553"/>
    <w:rsid w:val="179C3018"/>
    <w:rsid w:val="17BC51A7"/>
    <w:rsid w:val="17E22F5C"/>
    <w:rsid w:val="17EE5248"/>
    <w:rsid w:val="189C4D3A"/>
    <w:rsid w:val="18A81AF8"/>
    <w:rsid w:val="18DA1C61"/>
    <w:rsid w:val="1910640B"/>
    <w:rsid w:val="194F5560"/>
    <w:rsid w:val="19BC275F"/>
    <w:rsid w:val="19BF644E"/>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E624A8"/>
    <w:rsid w:val="1C2503CF"/>
    <w:rsid w:val="1C3A461F"/>
    <w:rsid w:val="1C583DAC"/>
    <w:rsid w:val="1C735BE1"/>
    <w:rsid w:val="1C7F25A2"/>
    <w:rsid w:val="1C99577A"/>
    <w:rsid w:val="1DA510CB"/>
    <w:rsid w:val="1DD41F50"/>
    <w:rsid w:val="1E2C54FA"/>
    <w:rsid w:val="1E553EB9"/>
    <w:rsid w:val="1EF652E1"/>
    <w:rsid w:val="1F2B0E21"/>
    <w:rsid w:val="1F793F7F"/>
    <w:rsid w:val="1F836367"/>
    <w:rsid w:val="1F861028"/>
    <w:rsid w:val="1FA2571F"/>
    <w:rsid w:val="20096994"/>
    <w:rsid w:val="205A54F3"/>
    <w:rsid w:val="20B31DCB"/>
    <w:rsid w:val="20E716DD"/>
    <w:rsid w:val="21093804"/>
    <w:rsid w:val="21197F58"/>
    <w:rsid w:val="216D5F5C"/>
    <w:rsid w:val="216E62F3"/>
    <w:rsid w:val="21916B6D"/>
    <w:rsid w:val="21A64B78"/>
    <w:rsid w:val="21B13D1D"/>
    <w:rsid w:val="21CA55C5"/>
    <w:rsid w:val="2204269B"/>
    <w:rsid w:val="22387007"/>
    <w:rsid w:val="22606ABC"/>
    <w:rsid w:val="22650C06"/>
    <w:rsid w:val="22AB2AC4"/>
    <w:rsid w:val="22C24A6D"/>
    <w:rsid w:val="22FF7597"/>
    <w:rsid w:val="231625B2"/>
    <w:rsid w:val="237A23D8"/>
    <w:rsid w:val="240B137D"/>
    <w:rsid w:val="24352F85"/>
    <w:rsid w:val="244A3359"/>
    <w:rsid w:val="25031E0F"/>
    <w:rsid w:val="2540519B"/>
    <w:rsid w:val="256A7B23"/>
    <w:rsid w:val="25C71449"/>
    <w:rsid w:val="25F215F0"/>
    <w:rsid w:val="26942D28"/>
    <w:rsid w:val="269770B2"/>
    <w:rsid w:val="26A36451"/>
    <w:rsid w:val="26E266C1"/>
    <w:rsid w:val="27157D02"/>
    <w:rsid w:val="27870264"/>
    <w:rsid w:val="27E259BA"/>
    <w:rsid w:val="28CD6169"/>
    <w:rsid w:val="28EC413F"/>
    <w:rsid w:val="290E5506"/>
    <w:rsid w:val="291E415D"/>
    <w:rsid w:val="295E666C"/>
    <w:rsid w:val="298160F4"/>
    <w:rsid w:val="299037CC"/>
    <w:rsid w:val="29A7027F"/>
    <w:rsid w:val="29E0554E"/>
    <w:rsid w:val="2A721527"/>
    <w:rsid w:val="2A747086"/>
    <w:rsid w:val="2A8C3BD0"/>
    <w:rsid w:val="2ADA6A24"/>
    <w:rsid w:val="2AF56E78"/>
    <w:rsid w:val="2B151288"/>
    <w:rsid w:val="2B2758B4"/>
    <w:rsid w:val="2B8F6A94"/>
    <w:rsid w:val="2BAC2952"/>
    <w:rsid w:val="2C0D620D"/>
    <w:rsid w:val="2C9222B2"/>
    <w:rsid w:val="2CC72354"/>
    <w:rsid w:val="2CE17AF6"/>
    <w:rsid w:val="2D0E3DF0"/>
    <w:rsid w:val="2D562DA3"/>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57388E"/>
    <w:rsid w:val="30713E31"/>
    <w:rsid w:val="309F7328"/>
    <w:rsid w:val="30C01803"/>
    <w:rsid w:val="313D7A41"/>
    <w:rsid w:val="31737A8A"/>
    <w:rsid w:val="31DE7DDE"/>
    <w:rsid w:val="31EF7C74"/>
    <w:rsid w:val="32235819"/>
    <w:rsid w:val="32680FEB"/>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6AA11C1"/>
    <w:rsid w:val="376818C6"/>
    <w:rsid w:val="3784008B"/>
    <w:rsid w:val="37935872"/>
    <w:rsid w:val="37AF1DE5"/>
    <w:rsid w:val="37EA44E4"/>
    <w:rsid w:val="38504E49"/>
    <w:rsid w:val="389D7EB4"/>
    <w:rsid w:val="38B5247B"/>
    <w:rsid w:val="38EE2D91"/>
    <w:rsid w:val="390126DC"/>
    <w:rsid w:val="391D3D3D"/>
    <w:rsid w:val="39230C42"/>
    <w:rsid w:val="3A1D0C5F"/>
    <w:rsid w:val="3A416AF3"/>
    <w:rsid w:val="3A8C68EF"/>
    <w:rsid w:val="3AA1056B"/>
    <w:rsid w:val="3AC871CA"/>
    <w:rsid w:val="3B1309D9"/>
    <w:rsid w:val="3B1C043E"/>
    <w:rsid w:val="3B5D5507"/>
    <w:rsid w:val="3B7207E0"/>
    <w:rsid w:val="3B80764B"/>
    <w:rsid w:val="3BB373DD"/>
    <w:rsid w:val="3BFE6763"/>
    <w:rsid w:val="3C14431E"/>
    <w:rsid w:val="3C371BD0"/>
    <w:rsid w:val="3C3B7C3D"/>
    <w:rsid w:val="3C7F0083"/>
    <w:rsid w:val="3CDB1427"/>
    <w:rsid w:val="3D983929"/>
    <w:rsid w:val="3DC634B9"/>
    <w:rsid w:val="3DC6453E"/>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6A512C"/>
    <w:rsid w:val="43AE69E2"/>
    <w:rsid w:val="43D93E6B"/>
    <w:rsid w:val="43E87B28"/>
    <w:rsid w:val="43F57082"/>
    <w:rsid w:val="43F71712"/>
    <w:rsid w:val="44385D88"/>
    <w:rsid w:val="44522D00"/>
    <w:rsid w:val="44752007"/>
    <w:rsid w:val="45301DEA"/>
    <w:rsid w:val="453C55F1"/>
    <w:rsid w:val="455E71E3"/>
    <w:rsid w:val="455F58A4"/>
    <w:rsid w:val="4589325F"/>
    <w:rsid w:val="458F08D8"/>
    <w:rsid w:val="45922074"/>
    <w:rsid w:val="45C71D87"/>
    <w:rsid w:val="46000BFC"/>
    <w:rsid w:val="460627C9"/>
    <w:rsid w:val="4640104E"/>
    <w:rsid w:val="464B62C7"/>
    <w:rsid w:val="46651261"/>
    <w:rsid w:val="46713CC7"/>
    <w:rsid w:val="46802FC8"/>
    <w:rsid w:val="46B26934"/>
    <w:rsid w:val="46B9142D"/>
    <w:rsid w:val="47037533"/>
    <w:rsid w:val="47197C97"/>
    <w:rsid w:val="47795A1B"/>
    <w:rsid w:val="47904D47"/>
    <w:rsid w:val="47BB6E7E"/>
    <w:rsid w:val="47D25D21"/>
    <w:rsid w:val="47EA265E"/>
    <w:rsid w:val="487E3345"/>
    <w:rsid w:val="48953C10"/>
    <w:rsid w:val="48A24101"/>
    <w:rsid w:val="48EE4471"/>
    <w:rsid w:val="48FC638A"/>
    <w:rsid w:val="49007C8C"/>
    <w:rsid w:val="49276F2E"/>
    <w:rsid w:val="49495117"/>
    <w:rsid w:val="49630D4C"/>
    <w:rsid w:val="4977752B"/>
    <w:rsid w:val="498F28D1"/>
    <w:rsid w:val="49B81958"/>
    <w:rsid w:val="49DF3538"/>
    <w:rsid w:val="4A282C13"/>
    <w:rsid w:val="4A673701"/>
    <w:rsid w:val="4AC62A9D"/>
    <w:rsid w:val="4ADA779D"/>
    <w:rsid w:val="4AED1AA7"/>
    <w:rsid w:val="4AEE791F"/>
    <w:rsid w:val="4B171404"/>
    <w:rsid w:val="4B39244D"/>
    <w:rsid w:val="4B4057E7"/>
    <w:rsid w:val="4B49685A"/>
    <w:rsid w:val="4B7B754E"/>
    <w:rsid w:val="4B8F7597"/>
    <w:rsid w:val="4BB530E0"/>
    <w:rsid w:val="4BC16D1C"/>
    <w:rsid w:val="4BCA17A7"/>
    <w:rsid w:val="4BE24E3A"/>
    <w:rsid w:val="4C1D08F9"/>
    <w:rsid w:val="4C40574E"/>
    <w:rsid w:val="4C5A28C7"/>
    <w:rsid w:val="4C7E0836"/>
    <w:rsid w:val="4CCC524F"/>
    <w:rsid w:val="4D3771C8"/>
    <w:rsid w:val="4D4E6B20"/>
    <w:rsid w:val="4D573446"/>
    <w:rsid w:val="4D6E0FB7"/>
    <w:rsid w:val="4D6E75E8"/>
    <w:rsid w:val="4D785DBE"/>
    <w:rsid w:val="4D9B7AE1"/>
    <w:rsid w:val="4DBB14AE"/>
    <w:rsid w:val="4E6C2DA7"/>
    <w:rsid w:val="4EAC54CF"/>
    <w:rsid w:val="4EC1060E"/>
    <w:rsid w:val="4EC56875"/>
    <w:rsid w:val="4EFB456B"/>
    <w:rsid w:val="4F513D5F"/>
    <w:rsid w:val="4F7312EE"/>
    <w:rsid w:val="4FB43CBE"/>
    <w:rsid w:val="4FE0147F"/>
    <w:rsid w:val="50550202"/>
    <w:rsid w:val="50C06D1F"/>
    <w:rsid w:val="50FC56A3"/>
    <w:rsid w:val="51095EB7"/>
    <w:rsid w:val="51173C66"/>
    <w:rsid w:val="511E46D5"/>
    <w:rsid w:val="51513818"/>
    <w:rsid w:val="517E1B7C"/>
    <w:rsid w:val="51997656"/>
    <w:rsid w:val="51D12E85"/>
    <w:rsid w:val="51EF7715"/>
    <w:rsid w:val="52006FED"/>
    <w:rsid w:val="52007258"/>
    <w:rsid w:val="52496CF3"/>
    <w:rsid w:val="52696687"/>
    <w:rsid w:val="52750578"/>
    <w:rsid w:val="52A74AA4"/>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DB4C0A"/>
    <w:rsid w:val="54F358D6"/>
    <w:rsid w:val="55164B83"/>
    <w:rsid w:val="553E06E6"/>
    <w:rsid w:val="555179AA"/>
    <w:rsid w:val="559714A5"/>
    <w:rsid w:val="55AC06B4"/>
    <w:rsid w:val="55CE7EE0"/>
    <w:rsid w:val="55CF6D0F"/>
    <w:rsid w:val="56BB18C3"/>
    <w:rsid w:val="571A2781"/>
    <w:rsid w:val="575C08FE"/>
    <w:rsid w:val="57610F7E"/>
    <w:rsid w:val="57967344"/>
    <w:rsid w:val="57B4793B"/>
    <w:rsid w:val="57E23853"/>
    <w:rsid w:val="580674DD"/>
    <w:rsid w:val="58137E7C"/>
    <w:rsid w:val="585050BF"/>
    <w:rsid w:val="585D1C9C"/>
    <w:rsid w:val="586B418D"/>
    <w:rsid w:val="5886610B"/>
    <w:rsid w:val="58D033F2"/>
    <w:rsid w:val="5933411F"/>
    <w:rsid w:val="59483BF5"/>
    <w:rsid w:val="5A6A261F"/>
    <w:rsid w:val="5B0171D9"/>
    <w:rsid w:val="5B031993"/>
    <w:rsid w:val="5B0E4D86"/>
    <w:rsid w:val="5B3160A7"/>
    <w:rsid w:val="5B881C80"/>
    <w:rsid w:val="5BBB2BB0"/>
    <w:rsid w:val="5BFB3952"/>
    <w:rsid w:val="5C0476C3"/>
    <w:rsid w:val="5C6137C8"/>
    <w:rsid w:val="5C725F5D"/>
    <w:rsid w:val="5C8C5A76"/>
    <w:rsid w:val="5CE255E1"/>
    <w:rsid w:val="5D1A67DC"/>
    <w:rsid w:val="5D2907BD"/>
    <w:rsid w:val="5E007D69"/>
    <w:rsid w:val="5E0400DD"/>
    <w:rsid w:val="5E6827D5"/>
    <w:rsid w:val="5E7F7D22"/>
    <w:rsid w:val="5EC01341"/>
    <w:rsid w:val="5F0454F9"/>
    <w:rsid w:val="5F507BA7"/>
    <w:rsid w:val="5F9F13B6"/>
    <w:rsid w:val="5FEE7037"/>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665830"/>
    <w:rsid w:val="63A33BBD"/>
    <w:rsid w:val="64284052"/>
    <w:rsid w:val="6429099E"/>
    <w:rsid w:val="647555F7"/>
    <w:rsid w:val="647B3309"/>
    <w:rsid w:val="64B35BE6"/>
    <w:rsid w:val="64BC5621"/>
    <w:rsid w:val="64C00EAA"/>
    <w:rsid w:val="64C9512D"/>
    <w:rsid w:val="6526689E"/>
    <w:rsid w:val="653D4716"/>
    <w:rsid w:val="654A79CF"/>
    <w:rsid w:val="6552427C"/>
    <w:rsid w:val="655E5AFC"/>
    <w:rsid w:val="65B940C9"/>
    <w:rsid w:val="65FF7564"/>
    <w:rsid w:val="66353CC9"/>
    <w:rsid w:val="66A85805"/>
    <w:rsid w:val="66FC729A"/>
    <w:rsid w:val="671342EB"/>
    <w:rsid w:val="67D8638F"/>
    <w:rsid w:val="6803353F"/>
    <w:rsid w:val="685607DF"/>
    <w:rsid w:val="685E563F"/>
    <w:rsid w:val="6898128A"/>
    <w:rsid w:val="68B60B5B"/>
    <w:rsid w:val="68D1417E"/>
    <w:rsid w:val="690C6FAA"/>
    <w:rsid w:val="690E1FC4"/>
    <w:rsid w:val="692E3A9D"/>
    <w:rsid w:val="697056F5"/>
    <w:rsid w:val="69CC5C96"/>
    <w:rsid w:val="69E33953"/>
    <w:rsid w:val="6A53231B"/>
    <w:rsid w:val="6AC62FBB"/>
    <w:rsid w:val="6B252027"/>
    <w:rsid w:val="6B3833C1"/>
    <w:rsid w:val="6B8055ED"/>
    <w:rsid w:val="6BBF6767"/>
    <w:rsid w:val="6BD519A9"/>
    <w:rsid w:val="6BE66EDE"/>
    <w:rsid w:val="6BFE5571"/>
    <w:rsid w:val="6C2D3F35"/>
    <w:rsid w:val="6C420E9C"/>
    <w:rsid w:val="6C4C6E1C"/>
    <w:rsid w:val="6C6A3F4B"/>
    <w:rsid w:val="6CA40DC2"/>
    <w:rsid w:val="6CBF4F2D"/>
    <w:rsid w:val="6CD05DCC"/>
    <w:rsid w:val="6D0205BA"/>
    <w:rsid w:val="6D845474"/>
    <w:rsid w:val="6DBE774E"/>
    <w:rsid w:val="6DE61751"/>
    <w:rsid w:val="6DE96CB8"/>
    <w:rsid w:val="6DF167E1"/>
    <w:rsid w:val="6F5C60D4"/>
    <w:rsid w:val="6F627207"/>
    <w:rsid w:val="6F8A62CB"/>
    <w:rsid w:val="6F8C3A16"/>
    <w:rsid w:val="6FD2187C"/>
    <w:rsid w:val="70005BAF"/>
    <w:rsid w:val="70081862"/>
    <w:rsid w:val="703029D2"/>
    <w:rsid w:val="703778D2"/>
    <w:rsid w:val="706C0B9A"/>
    <w:rsid w:val="70734B34"/>
    <w:rsid w:val="707F24A7"/>
    <w:rsid w:val="709A3D9E"/>
    <w:rsid w:val="70AD066A"/>
    <w:rsid w:val="70C473C9"/>
    <w:rsid w:val="70D078E2"/>
    <w:rsid w:val="70E414CB"/>
    <w:rsid w:val="71044D9D"/>
    <w:rsid w:val="71055CE7"/>
    <w:rsid w:val="71226BED"/>
    <w:rsid w:val="715A3DCB"/>
    <w:rsid w:val="71685132"/>
    <w:rsid w:val="71852CD8"/>
    <w:rsid w:val="71A14423"/>
    <w:rsid w:val="71E028A3"/>
    <w:rsid w:val="72017BB8"/>
    <w:rsid w:val="7204421B"/>
    <w:rsid w:val="720D6687"/>
    <w:rsid w:val="722F2E4C"/>
    <w:rsid w:val="72530714"/>
    <w:rsid w:val="72546013"/>
    <w:rsid w:val="727F38FA"/>
    <w:rsid w:val="72993A93"/>
    <w:rsid w:val="72BD2D0C"/>
    <w:rsid w:val="72CD4069"/>
    <w:rsid w:val="7348765D"/>
    <w:rsid w:val="73642249"/>
    <w:rsid w:val="737F7858"/>
    <w:rsid w:val="73B02321"/>
    <w:rsid w:val="73E65158"/>
    <w:rsid w:val="74045844"/>
    <w:rsid w:val="742749F8"/>
    <w:rsid w:val="74783628"/>
    <w:rsid w:val="74A2511E"/>
    <w:rsid w:val="751F4274"/>
    <w:rsid w:val="757165DA"/>
    <w:rsid w:val="75CA5D3F"/>
    <w:rsid w:val="75FD6864"/>
    <w:rsid w:val="761C62F6"/>
    <w:rsid w:val="76273A62"/>
    <w:rsid w:val="765C411D"/>
    <w:rsid w:val="765C6F7D"/>
    <w:rsid w:val="766559B4"/>
    <w:rsid w:val="766E5645"/>
    <w:rsid w:val="7673220A"/>
    <w:rsid w:val="76AD08F4"/>
    <w:rsid w:val="76DC3792"/>
    <w:rsid w:val="76F61CB7"/>
    <w:rsid w:val="77055092"/>
    <w:rsid w:val="77056E1C"/>
    <w:rsid w:val="77094A2E"/>
    <w:rsid w:val="770B7945"/>
    <w:rsid w:val="770C1A51"/>
    <w:rsid w:val="771760BD"/>
    <w:rsid w:val="77583A51"/>
    <w:rsid w:val="776B58C1"/>
    <w:rsid w:val="77A94A1A"/>
    <w:rsid w:val="77AA0845"/>
    <w:rsid w:val="77D97C19"/>
    <w:rsid w:val="78077A4A"/>
    <w:rsid w:val="782E7E31"/>
    <w:rsid w:val="78383184"/>
    <w:rsid w:val="78795CD6"/>
    <w:rsid w:val="790D5F92"/>
    <w:rsid w:val="79340D5C"/>
    <w:rsid w:val="794357FD"/>
    <w:rsid w:val="798950D1"/>
    <w:rsid w:val="798B1458"/>
    <w:rsid w:val="799856B5"/>
    <w:rsid w:val="79DDEB7F"/>
    <w:rsid w:val="7A247909"/>
    <w:rsid w:val="7A490D2F"/>
    <w:rsid w:val="7A5710C6"/>
    <w:rsid w:val="7A5A246A"/>
    <w:rsid w:val="7A6E6AF6"/>
    <w:rsid w:val="7A921639"/>
    <w:rsid w:val="7AA01263"/>
    <w:rsid w:val="7AD31C0E"/>
    <w:rsid w:val="7AFD2B2A"/>
    <w:rsid w:val="7B113279"/>
    <w:rsid w:val="7B2C5641"/>
    <w:rsid w:val="7B31273F"/>
    <w:rsid w:val="7B60022D"/>
    <w:rsid w:val="7B6479D0"/>
    <w:rsid w:val="7BFB3417"/>
    <w:rsid w:val="7BFC2507"/>
    <w:rsid w:val="7C1A2DA4"/>
    <w:rsid w:val="7C4B12FE"/>
    <w:rsid w:val="7C9E730A"/>
    <w:rsid w:val="7D0278A8"/>
    <w:rsid w:val="7D107B6E"/>
    <w:rsid w:val="7D2C1078"/>
    <w:rsid w:val="7D596D6C"/>
    <w:rsid w:val="7D787E00"/>
    <w:rsid w:val="7D9F1826"/>
    <w:rsid w:val="7DAF234C"/>
    <w:rsid w:val="7DBB0DEA"/>
    <w:rsid w:val="7DCA65AC"/>
    <w:rsid w:val="7DE329CE"/>
    <w:rsid w:val="7E3A03D7"/>
    <w:rsid w:val="7E3A13EE"/>
    <w:rsid w:val="7E453A68"/>
    <w:rsid w:val="7E680042"/>
    <w:rsid w:val="7E6E98E4"/>
    <w:rsid w:val="7EBB3930"/>
    <w:rsid w:val="7EE94CBB"/>
    <w:rsid w:val="7F37016E"/>
    <w:rsid w:val="7F686EE0"/>
    <w:rsid w:val="7F7D13C9"/>
    <w:rsid w:val="7FAD7090"/>
    <w:rsid w:val="BCFD8597"/>
    <w:rsid w:val="DFBFF38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Normal Indent"/>
    <w:basedOn w:val="1"/>
    <w:qFormat/>
    <w:uiPriority w:val="0"/>
    <w:pPr>
      <w:ind w:firstLine="420"/>
    </w:pPr>
    <w:rPr>
      <w:szCs w:val="20"/>
    </w:r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Indent"/>
    <w:basedOn w:val="1"/>
    <w:next w:val="10"/>
    <w:qFormat/>
    <w:uiPriority w:val="0"/>
    <w:pPr>
      <w:ind w:firstLine="830" w:firstLineChars="352"/>
    </w:pPr>
    <w:rPr>
      <w:rFonts w:ascii="仿宋_GB2312" w:eastAsia="仿宋_GB2312"/>
      <w:kern w:val="0"/>
      <w:sz w:val="32"/>
      <w:szCs w:val="20"/>
    </w:rPr>
  </w:style>
  <w:style w:type="paragraph" w:styleId="10">
    <w:name w:val="envelope return"/>
    <w:basedOn w:val="1"/>
    <w:qFormat/>
    <w:uiPriority w:val="0"/>
    <w:pPr>
      <w:snapToGrid w:val="0"/>
    </w:pPr>
    <w:rPr>
      <w:rFonts w:ascii="Arial" w:hAnsi="Arial"/>
    </w:rPr>
  </w:style>
  <w:style w:type="paragraph" w:styleId="11">
    <w:name w:val="Block Text"/>
    <w:basedOn w:val="1"/>
    <w:qFormat/>
    <w:uiPriority w:val="0"/>
    <w:pPr>
      <w:ind w:left="1440" w:leftChars="700" w:right="700" w:rightChars="700"/>
    </w:pPr>
  </w:style>
  <w:style w:type="paragraph" w:styleId="12">
    <w:name w:val="Plain Text"/>
    <w:basedOn w:val="1"/>
    <w:next w:val="1"/>
    <w:qFormat/>
    <w:uiPriority w:val="0"/>
    <w:rPr>
      <w:rFonts w:ascii="宋体" w:eastAsia="宋体" w:cs="Courier New"/>
      <w:szCs w:val="21"/>
    </w:rPr>
  </w:style>
  <w:style w:type="paragraph" w:styleId="13">
    <w:name w:val="footer"/>
    <w:basedOn w:val="1"/>
    <w:link w:val="28"/>
    <w:unhideWhenUsed/>
    <w:qFormat/>
    <w:uiPriority w:val="99"/>
    <w:pPr>
      <w:tabs>
        <w:tab w:val="center" w:pos="4153"/>
        <w:tab w:val="right" w:pos="8306"/>
      </w:tabs>
      <w:snapToGrid w:val="0"/>
      <w:jc w:val="left"/>
    </w:pPr>
    <w:rPr>
      <w:sz w:val="18"/>
      <w:szCs w:val="18"/>
    </w:rPr>
  </w:style>
  <w:style w:type="paragraph" w:styleId="14">
    <w:name w:val="header"/>
    <w:basedOn w:val="1"/>
    <w:next w:val="1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6">
    <w:name w:val="Body Text Indent 3"/>
    <w:basedOn w:val="1"/>
    <w:qFormat/>
    <w:uiPriority w:val="0"/>
    <w:pPr>
      <w:ind w:firstLine="720"/>
    </w:pPr>
    <w:rPr>
      <w:sz w:val="28"/>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Body Text First Indent"/>
    <w:basedOn w:val="2"/>
    <w:next w:val="1"/>
    <w:qFormat/>
    <w:uiPriority w:val="0"/>
    <w:pPr>
      <w:ind w:firstLine="420" w:firstLineChars="100"/>
    </w:pPr>
    <w:rPr>
      <w:rFonts w:ascii="宋体" w:hAnsi="Courier New"/>
      <w:kern w:val="0"/>
      <w:sz w:val="20"/>
      <w:szCs w:val="21"/>
    </w:r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style>
  <w:style w:type="character" w:styleId="23">
    <w:name w:val="FollowedHyperlink"/>
    <w:basedOn w:val="21"/>
    <w:unhideWhenUsed/>
    <w:qFormat/>
    <w:uiPriority w:val="99"/>
    <w:rPr>
      <w:color w:val="800080"/>
      <w:u w:val="single"/>
    </w:rPr>
  </w:style>
  <w:style w:type="character" w:styleId="24">
    <w:name w:val="Hyperlink"/>
    <w:basedOn w:val="21"/>
    <w:unhideWhenUsed/>
    <w:qFormat/>
    <w:uiPriority w:val="99"/>
    <w:rPr>
      <w:color w:val="0000FF"/>
      <w:u w:val="single"/>
    </w:rPr>
  </w:style>
  <w:style w:type="paragraph" w:customStyle="1" w:styleId="25">
    <w:name w:val="表格文字"/>
    <w:basedOn w:val="9"/>
    <w:unhideWhenUsed/>
    <w:qFormat/>
    <w:uiPriority w:val="0"/>
    <w:pPr>
      <w:spacing w:before="25" w:beforeLines="0" w:after="25" w:afterLines="0"/>
      <w:jc w:val="left"/>
    </w:pPr>
    <w:rPr>
      <w:rFonts w:hint="default"/>
      <w:spacing w:val="10"/>
      <w:kern w:val="0"/>
      <w:sz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1"/>
    <w:link w:val="14"/>
    <w:qFormat/>
    <w:uiPriority w:val="99"/>
    <w:rPr>
      <w:sz w:val="18"/>
      <w:szCs w:val="18"/>
    </w:rPr>
  </w:style>
  <w:style w:type="character" w:customStyle="1" w:styleId="28">
    <w:name w:val="页脚 字符"/>
    <w:basedOn w:val="21"/>
    <w:link w:val="13"/>
    <w:qFormat/>
    <w:uiPriority w:val="99"/>
    <w:rPr>
      <w:sz w:val="18"/>
      <w:szCs w:val="18"/>
    </w:rPr>
  </w:style>
  <w:style w:type="paragraph" w:customStyle="1"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1"/>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customStyle="1"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paragraph" w:customStyle="1" w:styleId="42">
    <w:name w:val="Normal_0"/>
    <w:qFormat/>
    <w:uiPriority w:val="0"/>
    <w:rPr>
      <w:rFonts w:eastAsia="Times New Roman" w:asciiTheme="minorHAnsi" w:hAnsiTheme="minorHAnsi" w:cstheme="minorBidi"/>
      <w:sz w:val="24"/>
      <w:szCs w:val="24"/>
      <w:lang w:val="en-US" w:eastAsia="zh-CN" w:bidi="ar-SA"/>
    </w:rPr>
  </w:style>
  <w:style w:type="paragraph" w:customStyle="1" w:styleId="43">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44">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10340</Words>
  <Characters>10999</Characters>
  <Lines>54</Lines>
  <Paragraphs>15</Paragraphs>
  <TotalTime>2</TotalTime>
  <ScaleCrop>false</ScaleCrop>
  <LinksUpToDate>false</LinksUpToDate>
  <CharactersWithSpaces>11977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2020-03-10T21:45:00Z</dcterms:created>
  <dc:creator>Zeng Bin Fan</dc:creator>
  <cp:lastModifiedBy>逆光的微笑</cp:lastModifiedBy>
  <dcterms:modified xsi:type="dcterms:W3CDTF">2023-06-16T07:17:35Z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99C4894746EA4B269E4D49938D07BA78_13</vt:lpwstr>
  </property>
</Properties>
</file>