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p>
    <w:p>
      <w:pPr>
        <w:pStyle w:val="6"/>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竞争性磋商文件</w:t>
      </w:r>
    </w:p>
    <w:p>
      <w:pPr>
        <w:rPr>
          <w:rFonts w:hint="eastAsia" w:ascii="宋体" w:hAnsi="宋体" w:eastAsia="宋体" w:cs="宋体"/>
          <w:b/>
          <w:bCs/>
          <w:sz w:val="36"/>
          <w:szCs w:val="36"/>
          <w:lang w:val="en-US" w:eastAsia="zh-CN"/>
        </w:rPr>
      </w:pPr>
    </w:p>
    <w:p>
      <w:pPr>
        <w:pStyle w:val="6"/>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sz w:val="36"/>
          <w:szCs w:val="36"/>
          <w:u w:val="single"/>
          <w:lang w:val="en-US" w:eastAsia="zh-CN"/>
        </w:rPr>
        <w:t>粮食加工产业园视频监控设备采购</w:t>
      </w: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 购</w:t>
      </w:r>
      <w:r>
        <w:rPr>
          <w:rFonts w:hint="eastAsia" w:ascii="宋体" w:hAnsi="宋体" w:eastAsia="宋体" w:cs="宋体"/>
          <w:b/>
          <w:bCs/>
          <w:sz w:val="36"/>
          <w:szCs w:val="36"/>
          <w:u w:val="none"/>
          <w:lang w:val="en-US" w:eastAsia="zh-CN"/>
        </w:rPr>
        <w:t xml:space="preserve"> </w:t>
      </w:r>
      <w:r>
        <w:rPr>
          <w:rFonts w:hint="default" w:ascii="宋体" w:hAnsi="宋体" w:eastAsia="宋体" w:cs="宋体"/>
          <w:b/>
          <w:bCs/>
          <w:sz w:val="36"/>
          <w:szCs w:val="36"/>
          <w:lang w:val="en-US" w:eastAsia="zh-CN"/>
        </w:rPr>
        <w:t>人</w:t>
      </w:r>
      <w:r>
        <w:rPr>
          <w:rFonts w:hint="eastAsia" w:ascii="宋体" w:hAnsi="宋体" w:eastAsia="宋体" w:cs="宋体"/>
          <w:b/>
          <w:bCs/>
          <w:sz w:val="36"/>
          <w:szCs w:val="36"/>
          <w:lang w:val="en-US" w:eastAsia="zh-CN"/>
        </w:rPr>
        <w:t>：</w:t>
      </w:r>
      <w:r>
        <w:rPr>
          <w:rFonts w:hint="eastAsia" w:ascii="宋体" w:hAnsi="宋体" w:eastAsia="宋体" w:cs="宋体"/>
          <w:b/>
          <w:bCs/>
          <w:sz w:val="36"/>
          <w:szCs w:val="36"/>
          <w:u w:val="single"/>
          <w:lang w:val="en-US" w:eastAsia="zh-CN"/>
        </w:rPr>
        <w:t>广西钦保国际贸易有限公司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2023年5月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41"/>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b/>
          <w:bCs w:val="0"/>
          <w:kern w:val="2"/>
          <w:sz w:val="32"/>
          <w:szCs w:val="32"/>
          <w:u w:val="none"/>
          <w:lang w:val="en-US" w:eastAsia="zh-CN" w:bidi="ar-SA"/>
        </w:rPr>
        <w:t>竞争性磋商</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粮食加工产业园视频监控设备采购</w:t>
      </w:r>
      <w:r>
        <w:rPr>
          <w:rFonts w:hint="eastAsia" w:ascii="宋体" w:hAnsi="宋体" w:eastAsia="宋体" w:cs="宋体"/>
          <w:b w:val="0"/>
          <w:bCs/>
          <w:sz w:val="24"/>
          <w:szCs w:val="24"/>
          <w:u w:val="none"/>
          <w:lang w:val="en-US" w:eastAsia="zh-CN"/>
        </w:rPr>
        <w:t>潜在供应商应在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5"/>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none"/>
          <w:lang w:val="en-US" w:eastAsia="zh-CN"/>
        </w:rPr>
        <w:t>获取（下载）</w:t>
      </w:r>
      <w:r>
        <w:rPr>
          <w:rFonts w:hint="eastAsia" w:ascii="宋体" w:hAnsi="宋体" w:eastAsia="宋体" w:cs="宋体"/>
          <w:b w:val="0"/>
          <w:bCs/>
          <w:sz w:val="24"/>
          <w:szCs w:val="24"/>
          <w:lang w:val="en-US" w:eastAsia="zh-CN"/>
        </w:rPr>
        <w:t>竞争性磋商文件，并于截止日期</w:t>
      </w:r>
      <w:r>
        <w:rPr>
          <w:rFonts w:hint="eastAsia" w:ascii="宋体" w:hAnsi="宋体" w:eastAsia="宋体" w:cs="宋体"/>
          <w:b w:val="0"/>
          <w:bCs/>
          <w:color w:val="FF0000"/>
          <w:sz w:val="24"/>
          <w:szCs w:val="24"/>
          <w:u w:val="single"/>
          <w:lang w:val="en-US" w:eastAsia="zh-CN"/>
        </w:rPr>
        <w:t>2023年6月2日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项目名称：粮食加工产业园视频监控设备采购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预算金额：人民币肆拾万元（￥：</w:t>
      </w:r>
      <w:r>
        <w:rPr>
          <w:rFonts w:hint="eastAsia" w:ascii="Tahoma" w:hAnsi="Tahoma" w:eastAsia="宋体" w:cs="Tahoma"/>
          <w:i w:val="0"/>
          <w:iCs w:val="0"/>
          <w:caps w:val="0"/>
          <w:spacing w:val="0"/>
          <w:sz w:val="22"/>
          <w:szCs w:val="22"/>
          <w:shd w:val="clear" w:fill="F2F2F7"/>
          <w:lang w:val="en-US" w:eastAsia="zh-CN"/>
        </w:rPr>
        <w:t>400000</w:t>
      </w:r>
      <w:r>
        <w:rPr>
          <w:rFonts w:hint="eastAsia" w:ascii="宋体" w:hAnsi="宋体" w:eastAsia="宋体" w:cs="宋体"/>
          <w:b w:val="0"/>
          <w:bCs/>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最高限价：人民币肆拾万元（￥：</w:t>
      </w:r>
      <w:r>
        <w:rPr>
          <w:rFonts w:hint="eastAsia" w:ascii="Tahoma" w:hAnsi="Tahoma" w:eastAsia="宋体" w:cs="Tahoma"/>
          <w:i w:val="0"/>
          <w:iCs w:val="0"/>
          <w:caps w:val="0"/>
          <w:spacing w:val="0"/>
          <w:sz w:val="22"/>
          <w:szCs w:val="22"/>
          <w:shd w:val="clear" w:fill="F2F2F7"/>
          <w:lang w:val="en-US" w:eastAsia="zh-CN"/>
        </w:rPr>
        <w:t>400000</w:t>
      </w:r>
      <w:r>
        <w:rPr>
          <w:rFonts w:hint="eastAsia" w:ascii="宋体" w:hAnsi="宋体" w:eastAsia="宋体" w:cs="宋体"/>
          <w:b w:val="0"/>
          <w:bCs/>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采购需求：粮食加工产业园视频监控设备采购“第二章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 w:val="0"/>
          <w:bCs/>
          <w:color w:val="FF0000"/>
          <w:sz w:val="24"/>
          <w:szCs w:val="24"/>
          <w:u w:val="single"/>
          <w:lang w:val="en-US" w:eastAsia="zh-CN"/>
        </w:rPr>
        <w:t xml:space="preserve"> 40天 </w:t>
      </w:r>
      <w:r>
        <w:rPr>
          <w:rFonts w:hint="eastAsia" w:ascii="宋体" w:hAnsi="宋体" w:eastAsia="宋体" w:cs="宋体"/>
          <w:b w:val="0"/>
          <w:bCs/>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2023年5月29日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2023年6月2日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5"/>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2023年6月2日17时30分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2023年6月5日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pPr>
        <w:keepNext w:val="0"/>
        <w:keepLines w:val="0"/>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2023年6月5日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5个工作日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广西钦保国际贸易有限公司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07775880026</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w:t>
      </w:r>
    </w:p>
    <w:p>
      <w:pPr>
        <w:jc w:val="left"/>
        <w:rPr>
          <w:rFonts w:hint="eastAsia" w:ascii="宋体" w:hAnsi="宋体" w:eastAsia="宋体" w:cs="宋体"/>
          <w:b/>
          <w:bCs/>
          <w:sz w:val="36"/>
          <w:szCs w:val="36"/>
          <w:lang w:val="en-US" w:eastAsia="zh-CN"/>
        </w:rPr>
      </w:pPr>
    </w:p>
    <w:p>
      <w:pPr>
        <w:pStyle w:val="41"/>
        <w:rPr>
          <w:rFonts w:hint="eastAsia" w:ascii="宋体" w:hAnsi="宋体" w:eastAsia="宋体" w:cs="宋体"/>
        </w:rPr>
      </w:pPr>
      <w:r>
        <w:rPr>
          <w:rFonts w:hint="eastAsia" w:ascii="宋体" w:hAnsi="宋体" w:eastAsia="宋体" w:cs="宋体"/>
          <w:lang w:val="en-US" w:eastAsia="zh-CN"/>
        </w:rPr>
        <w:t>第二章</w:t>
      </w:r>
      <w:r>
        <w:rPr>
          <w:rFonts w:hint="eastAsia" w:cs="宋体"/>
          <w:lang w:val="en-US" w:eastAsia="zh-CN"/>
        </w:rPr>
        <w:t xml:space="preserve">  </w:t>
      </w:r>
      <w:r>
        <w:rPr>
          <w:rFonts w:hint="eastAsia" w:ascii="宋体" w:hAnsi="宋体" w:eastAsia="宋体" w:cs="宋体"/>
          <w:lang w:val="en-US"/>
        </w:rPr>
        <w:t>采购</w:t>
      </w:r>
      <w:r>
        <w:rPr>
          <w:rFonts w:hint="eastAsia" w:ascii="宋体" w:hAnsi="宋体" w:eastAsia="宋体" w:cs="宋体"/>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1、本</w:t>
      </w:r>
      <w:r>
        <w:rPr>
          <w:rFonts w:hint="eastAsia" w:ascii="宋体" w:hAnsi="宋体" w:eastAsia="宋体" w:cs="宋体"/>
          <w:sz w:val="24"/>
          <w:szCs w:val="24"/>
          <w:lang w:val="en-US" w:bidi="zh-CN"/>
        </w:rPr>
        <w:t>项目采购需求</w:t>
      </w:r>
      <w:r>
        <w:rPr>
          <w:rFonts w:hint="eastAsia" w:ascii="宋体" w:hAnsi="宋体" w:eastAsia="宋体" w:cs="宋体"/>
          <w:sz w:val="24"/>
          <w:szCs w:val="24"/>
          <w:lang w:bidi="zh-CN"/>
        </w:rPr>
        <w:t>表中所列的品牌、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型号仅起</w:t>
      </w:r>
      <w:r>
        <w:rPr>
          <w:rFonts w:hint="eastAsia" w:ascii="宋体" w:hAnsi="宋体" w:eastAsia="宋体" w:cs="宋体"/>
          <w:b/>
          <w:bCs/>
          <w:sz w:val="24"/>
          <w:szCs w:val="24"/>
          <w:lang w:bidi="zh-CN"/>
        </w:rPr>
        <w:t>参考作用</w:t>
      </w:r>
      <w:r>
        <w:rPr>
          <w:rFonts w:hint="eastAsia" w:ascii="宋体" w:hAnsi="宋体" w:eastAsia="宋体" w:cs="宋体"/>
          <w:sz w:val="24"/>
          <w:szCs w:val="24"/>
          <w:lang w:bidi="zh-CN"/>
        </w:rPr>
        <w:t>，</w:t>
      </w:r>
      <w:r>
        <w:rPr>
          <w:rFonts w:hint="eastAsia" w:ascii="宋体" w:hAnsi="宋体" w:eastAsia="宋体" w:cs="宋体"/>
          <w:sz w:val="24"/>
          <w:szCs w:val="24"/>
          <w:lang w:val="en-US" w:bidi="zh-CN"/>
        </w:rPr>
        <w:t>供应商</w:t>
      </w:r>
      <w:r>
        <w:rPr>
          <w:rFonts w:hint="eastAsia" w:ascii="宋体" w:hAnsi="宋体" w:eastAsia="宋体" w:cs="宋体"/>
          <w:sz w:val="24"/>
          <w:szCs w:val="24"/>
          <w:lang w:bidi="zh-CN"/>
        </w:rPr>
        <w:t>可选用其他品牌、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型号替代，但替代的品牌、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型号在实质性要求和条件上要</w:t>
      </w:r>
      <w:r>
        <w:rPr>
          <w:rFonts w:hint="eastAsia" w:ascii="宋体" w:hAnsi="宋体" w:eastAsia="宋体" w:cs="宋体"/>
          <w:b/>
          <w:bCs/>
          <w:sz w:val="24"/>
          <w:szCs w:val="24"/>
          <w:lang w:bidi="zh-CN"/>
        </w:rPr>
        <w:t>相当于或优于</w:t>
      </w:r>
      <w:r>
        <w:rPr>
          <w:rFonts w:hint="eastAsia" w:ascii="宋体" w:hAnsi="宋体" w:eastAsia="宋体" w:cs="宋体"/>
          <w:sz w:val="24"/>
          <w:szCs w:val="24"/>
          <w:lang w:bidi="zh-CN"/>
        </w:rPr>
        <w:t>参考品牌、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2、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tbl>
      <w:tblPr>
        <w:tblStyle w:val="21"/>
        <w:tblW w:w="8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686"/>
        <w:gridCol w:w="3211"/>
        <w:gridCol w:w="600"/>
        <w:gridCol w:w="656"/>
        <w:gridCol w:w="807"/>
        <w:gridCol w:w="843"/>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参数要求，内容为最底标准，需等于或以上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   （元）</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0"/>
                <w:szCs w:val="20"/>
                <w:u w:val="none"/>
                <w:lang w:val="en-US" w:eastAsia="zh-CN" w:bidi="ar"/>
              </w:rPr>
              <w:t>400万POE全彩高清网络摄像机</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 1/1.8"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 彩色：0.0005 Lux @（F1.0，AGC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 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景深范围: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mm：1.7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mm：3.6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mm：4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mm：6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焦距&amp;视场角: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mm，水平视场角：105.7°，垂直视场角：57.2°，对角视场角：124.5°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mm，水平视场角：88.7°，垂直视场角：44.7°，对角视场角：107.5°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mm，水平视场角：55.2°，垂直视场角：29.3°，对角视场角：64.6°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mm，水平视场角：38.8°，垂直视场角：21.1°，对角视场角：45.2°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 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 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 柔光灯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 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 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网络存储: 支持NAS（NFS，SMB/CIFS均支持）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 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 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4"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枪机横臂支架</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与序号1配套使用的支架，横臂材质：镀锌40方管，管厚1.5mm；横臂底座78mm方2.0厚冷轧板，支架固定在伸缩立柱上面。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2"/>
                <w:szCs w:val="22"/>
                <w:u w:val="none"/>
                <w:lang w:val="en-US" w:eastAsia="zh-CN" w:bidi="ar"/>
              </w:rPr>
              <w:t>400万POE防爆高清网络摄像机</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传感器类型：1/2.7”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照度，彩色: 0.005 Lux @(F1.2,AGC 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镜头：黑白: 0.0002 Lux @(F1.2,AGC ON),0Lux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4mm @F1.6:水平视场角: 78.4垂直视场角:42对角线视场角:93.8°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6mm @F1.6:水平视场角:48.8”垂直视场角:26.4对角线视场角:56.8°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8mm @F1.6:水平视场角:37.5垂直视场角:20.对角线视场角:43.3°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镜头尺寸接口：M12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快门：1/3 s~1/100,000 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调整角度：水平:-90°~90°垂直:-30°~30°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日夜转换模式：ICR红外滤片式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宽动态范围：120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图像尺寸：2560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帧率：50 Hz: 25 fps (2560 x1440,1920  1080,1280 x 960,1280 x720）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 30 fps (2560 x 1440,1920 x 1080,1280 x 960,1280 x720)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第三码流分辨率与帧率：独立于主码流设置支持: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 Hz: 25 fps (1920 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 30 fps(1920 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图像设置：饱和度,亮度，对比度，锐度,AGC,白平衡,旋转通过客户端或者浏览器可调      图像增强：背光补偿，强光抑制,透雾，电子防抖,畸变矫正,3D 数字降噪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通用功能：防闪烁,三码流，心跳,镜像,密码保护,视频遮盖,水印技术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恢复出厂设置：支持按键，客户端或者浏览器恢复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异常报警：移动侦测,遮挡报警，网线断,IP 地址冲突，存储器满，存储器错,非法登录搭配存储功能：监控录像机+硬盘存储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行为分析：越界侦测，区域入侵侦测,进入区域侦测，离开区域侦测,徘徊侦测，人员聚集侦测，快速运动侦测,停车侦测,物品拿取侦测,物品遗留侦测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场景变更侦测，虚焦侦测人脸侦侧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补光距离：30m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防爆软管</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1米防爆挠性管； 线缆的防爆保护套管，G3/4"(外) 转 G3/4"(内),  内孔直径Ø15 ，长度1米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防爆接线盒</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仓内防爆接线盒</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防爆摄像机支架</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防爆摄像头壁装支架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841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②</w:t>
            </w:r>
            <w:r>
              <w:rPr>
                <w:rFonts w:hint="eastAsia" w:ascii="宋体" w:hAnsi="宋体" w:eastAsia="宋体" w:cs="宋体"/>
                <w:b/>
                <w:bCs/>
                <w:i w:val="0"/>
                <w:iCs w:val="0"/>
                <w:color w:val="000000"/>
                <w:kern w:val="0"/>
                <w:sz w:val="22"/>
                <w:szCs w:val="22"/>
                <w:u w:val="none"/>
                <w:lang w:val="en-US" w:eastAsia="zh-CN" w:bidi="ar"/>
              </w:rPr>
              <w:t>后端设备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2"/>
                <w:szCs w:val="22"/>
                <w:u w:val="none"/>
                <w:lang w:val="en-US" w:eastAsia="zh-CN" w:bidi="ar"/>
              </w:rPr>
              <w:t>2光8电千兆POE收发器</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1、8端口支持标准IEEE802.3af供电，8个10/100/1000Mbps自适应RJ45端口，符合IEEE802.310Base-T和IEEE 802.3u100Base-TX和IEEE 802.3z1000Base-TX标准。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2、PD侦测功能，带POE控制芯片，只有识别到前端设备为POE设备才会提供供电，不烧设备，可接入所有厂家的摄像头，海康，大华，中维等等，电脑笔记本，路由器，交换机，电话机等，不会烧坏设备。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3、带标准的IEEE802.3协议，兼容性要强，使用领域范围大，可以任意接入网络设备并提供数字信号传输。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4、支持为IEEE 802af/at 标准的终端设备供电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5、支持全双工流控和半双工流。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6、支持上行端口防雷(达到二级防雷要求)。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7、附带2个上联SC光口利于网络拓展。</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2光4电千兆POE收发器</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1、千兆2光4电，1000M POE4个，单纤SC光口2个。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动检测与识别符合IEEE802.af标准的PD设备并为其供电，自动功能管理，受电设备总功率过载，系统启动优先机制，切断优先级低的端口供电。支持过流保护，过压保护，PD功率分级节能机制强大自动关断功能，事实保护外接任何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3、IP30防护等级，桌面式与壁挂式双重安装模式，高低温循环测试，高强度环境承受能力，二级防浪涌设计，通过高压3.8KV，过流短路保护测试。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4、满足4台500万网络摄像机流畅传输，超高背板宽带1.6G包转发率为0.1488Mpps，经典Realtek以太网数据交换内核，包缓存内存96KB，支持1K的MAC地址表深度。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2"/>
                <w:szCs w:val="22"/>
                <w:u w:val="none"/>
                <w:lang w:val="en-US" w:eastAsia="zh-CN" w:bidi="ar"/>
              </w:rPr>
              <w:t>汇聚交换机</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24个千兆自适应RJ45端口和4个千兆SFP端口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工业级工作温度：-40℃~75℃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宽电压输入：100-240 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IP30防护：减少粉尘影响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支持ERPS环网协议，RPL配置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双可拔插电源输入，冗余备份，大大提高产品供电可靠性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EMS高防护等级，无惧各种恶劣环境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0"/>
                <w:szCs w:val="20"/>
                <w:u w:val="none"/>
                <w:lang w:val="en-US" w:eastAsia="zh-CN" w:bidi="ar"/>
              </w:rPr>
              <w:t>网络硬盘录像机</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1、约3U机架式，支持接入≥64路H.264、H.265格式高清码流接入，支持输入带宽≥384Mbps，输出带宽≥256Mbps，支持≥16个SATA接口硬盘。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2、支持接入1T、2T、3T、4T、6T、8T、10T、12TB、14TB、16TB、18TB容量的SATA接口硬盘，支持RAID0、RAID1、RAID5、RAID6、RAID10，支持全局热备盘。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3、可同时解码输出≥32路H.265编码、30fps、1920×1080格式的视频图像，或同时解码输出≥8路 H.265编码、25fps、4096×2160或者3840×2160格式的视频图像，或同时解码输出≥6路 H.265编码、20fps、4000×3000格式的视频图像，或同时解码输出≥2路H.265编码、25fps、8160×3616格式的视频图像。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4、显示输出分辨率具有不低于8K(7680×4320)/30Hz, 4K(3840×2160)/60Hz、4K(3840×2160)/30Hz、2K（2560×1440）/60Hz，1080P（1920×1080）/60Hz，UXGA（1600×1200）/60Hz，SXGA（1280×1024）/60Hz，720P（1280×720）/60Hz，XGA（1024×768）/60Hz设置选项。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具有≥2个HDMI接口，≥2个VGA接口，≥1个CVBS接口，支持≥3组异源输出，每组输出可独立配置全局音频预览，HDMI接口最大支持8K输出，当一路输出8K时，另一路最高支持1080P输出，两个HDMI接口可同时支持双4K异源输出，CVBS接口支持≥10档亮度调节，支持PAL和NTSC制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6、支持在视频画面叠加智能分析规则框，智能分析规则框数量和大小可跟随目标自动调整，并随目标消失而消失。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7、支持检索与回放，在录像回放界面设置自动检索出关联通道录像，并以日历形式展示出录像分布情况，同时自动回放当天录像。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8、支持回放双进度条控制功能，一条为当前回放通道，一条为全部通道，支持鼠标在进度条上点击进行定位回放。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9、支持OTA升级功能，支持手动检查和设备自动检查云端升级包，自动升级，支持云端定向发布升级包，可根据设备序列号范围推送指定的升级包。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10、支持将设备日志上传到日志服务器，可配置日志服务器IP地址和端口。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11、支持本地和远程进行IPv6配置，IPv6支持设置多种模式：路由公告、自动获取、手动配置。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12、具有存储安全保障功能，当存储压力过高或硬盘出现性能不足时，可优先录像业务存储。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N+M热备份功能，支持设置一台设备为≥32台的热备机，当主设备断网时，备份设备替换主设备进行录像工作，当主设备正常时，备份机可回传录像文件至主设备，备份机回到热备状态，支持N+M热备功能，可将多台设备分别设置为主服务器和备用服务器，可配置高速/中速/低速回传（1＜M＜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14、支持活动目标与实时预览同屏显示，实时预览的同时可以提取视频画面中的活动目标，可显示人脸、人体、车辆等目标图片，点击图片可即时回放相关录像。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15、支持视图轮巡，支持单窗口轮巡、多窗口轮巡，支持修改自定义视图风格，支持批量删除视图资源，支持重启客户端后自动打开关闭前的视图界面。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16、支持报警的一键撤防，撤防的报警类型包括：弹出报警画面、声音警告、上传中心、发送邮件、触发报警输出。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17、支持≥2个RJ45千兆网络接口、≥2个USB2.0接口、≥2个USB3.0接口、≥1个eSata接口、≥16路报警输入接口、≥9路报警输出接口。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2"/>
                <w:szCs w:val="22"/>
                <w:u w:val="none"/>
                <w:lang w:val="en-US" w:eastAsia="zh-CN" w:bidi="ar"/>
              </w:rPr>
              <w:t>10T监控硬盘</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企业级 10T 3.5寸SATA 7200转 256M监控硬盘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要求录像存储90天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监控显示器</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小米65英寸 金属全面屏  4K超高清 工业安防（含安装）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电视壁挂支架</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毛重：3.9KG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材质：高强度钢（主体）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适用尺寸：40寸-75寸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支架参数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产品承重：70KG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10米 4K HDMI高清线，用于连接录像机和监控显视器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监控电脑</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联想(Lenovo)台式机电脑主机 扬天M4000q 英特尔酷睿i3(i3-12100 8G 512G Type-C Win11)21.45英寸整机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门禁道闸系统可共用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监控中心配电箱</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含空开、排插、电源线等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1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③</w:t>
            </w:r>
            <w:r>
              <w:rPr>
                <w:rFonts w:hint="eastAsia" w:ascii="宋体" w:hAnsi="宋体" w:eastAsia="宋体" w:cs="宋体"/>
                <w:b/>
                <w:bCs/>
                <w:i w:val="0"/>
                <w:iCs w:val="0"/>
                <w:color w:val="000000"/>
                <w:kern w:val="0"/>
                <w:sz w:val="22"/>
                <w:szCs w:val="22"/>
                <w:u w:val="none"/>
                <w:lang w:val="en-US" w:eastAsia="zh-CN" w:bidi="ar"/>
              </w:rPr>
              <w:t>线材、辅材、安装费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超五类网线</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超五类8芯0.5无氧铜网络线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主路电源线</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 2*2.5无氧铜、国标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支路电源线</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 2*1.5无氧铜、国标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主路光缆</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室外单模铠装光缆24芯</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支路光缆</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室外单模铠装光缆4芯</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含对接海关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24口光纤终端盒</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24口SC光纤终端盒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4口光纤终端盒</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4口SC光纤终端盒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千兆单模单纤光电转换器模块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伸缩立杆</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高度可伸缩（1-1.6米）；材质：镀锌圆管 壁厚2.0mm；下杆89管，上杆76管；底座直径200 厚度8mm；安装在围墙柱顶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2.0塑胶管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监控网络设备箱</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前端监控网络汇聚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网络机柜</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规格600*800*1600，含PDU电源排插，加厚款，钢板厚度1.0mm、立柱厚度2.0mm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尾纤</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1米单模SC尾纤</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水晶头/胶布/波纹软管/线管弯头/钉子/排插/抱箍等辅材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光纤熔接</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安装/布线/调试/登高器械租用/对接海关平台光缆布设及调试</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延保服务费</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免费质保1年，延长质保2年后，质保期是3年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9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③小计</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9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①+②+③合计</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9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④增值税</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9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①+②+③+④总价合计</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84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eastAsiaTheme="minorEastAsia"/>
                <w:lang w:val="en-US" w:eastAsia="zh-CN"/>
              </w:rPr>
            </w:pPr>
            <w:r>
              <w:rPr>
                <w:rFonts w:hint="eastAsia"/>
                <w:lang w:val="en-US" w:eastAsia="zh-CN"/>
              </w:rPr>
              <w:t xml:space="preserve">报价说明：    </w:t>
            </w:r>
            <w:r>
              <w:rPr>
                <w:rFonts w:hint="eastAsia"/>
                <w:lang w:val="en-US" w:eastAsia="zh-CN"/>
              </w:rPr>
              <w:br w:type="textWrapping"/>
            </w:r>
            <w:r>
              <w:rPr>
                <w:rFonts w:hint="eastAsia"/>
                <w:lang w:val="en-US" w:eastAsia="zh-CN"/>
              </w:rPr>
              <w:t>1、以上报价含人工费、材料费、设备费、机械使用费、管理费、利润、规费、税金、运费、安装及调试费等。</w:t>
            </w:r>
            <w:r>
              <w:rPr>
                <w:rFonts w:hint="eastAsia"/>
                <w:lang w:val="en-US" w:eastAsia="zh-CN"/>
              </w:rPr>
              <w:br w:type="textWrapping"/>
            </w:r>
            <w:r>
              <w:rPr>
                <w:rFonts w:hint="eastAsia"/>
                <w:lang w:val="en-US" w:eastAsia="zh-CN"/>
              </w:rPr>
              <w:t>2、</w:t>
            </w:r>
            <w:r>
              <w:rPr>
                <w:rFonts w:hint="eastAsia"/>
                <w:b/>
                <w:bCs/>
                <w:lang w:val="en-US" w:eastAsia="zh-CN"/>
              </w:rPr>
              <w:t>监控系统报价需包含对接钦州港海关监控平台（备注：此平台使用的是大华设备）。</w:t>
            </w:r>
            <w:r>
              <w:rPr>
                <w:rFonts w:hint="eastAsia"/>
                <w:lang w:val="en-US" w:eastAsia="zh-CN"/>
              </w:rPr>
              <w:br w:type="textWrapping"/>
            </w:r>
            <w:r>
              <w:rPr>
                <w:rFonts w:hint="eastAsia"/>
                <w:lang w:val="en-US" w:eastAsia="zh-CN"/>
              </w:rPr>
              <w:t>3、质保期3年。</w:t>
            </w:r>
            <w:r>
              <w:rPr>
                <w:rFonts w:hint="eastAsia"/>
                <w:lang w:val="en-US" w:eastAsia="zh-CN"/>
              </w:rPr>
              <w:br w:type="textWrapping"/>
            </w:r>
            <w:r>
              <w:rPr>
                <w:rFonts w:hint="eastAsia"/>
                <w:lang w:val="en-US" w:eastAsia="zh-CN"/>
              </w:rPr>
              <w:t>4、设备的品牌在行业中具有良好的口碑或大众认知度较高，参考海康、大华及同等档次品牌。</w:t>
            </w:r>
            <w:r>
              <w:rPr>
                <w:rFonts w:hint="eastAsia"/>
                <w:lang w:val="en-US" w:eastAsia="zh-CN"/>
              </w:rPr>
              <w:br w:type="textWrapping"/>
            </w:r>
            <w:r>
              <w:rPr>
                <w:rFonts w:hint="eastAsia"/>
                <w:lang w:val="en-US" w:eastAsia="zh-CN"/>
              </w:rPr>
              <w:t>5、开票为增值税专票。</w:t>
            </w:r>
          </w:p>
        </w:tc>
      </w:tr>
    </w:tbl>
    <w:p>
      <w:pPr>
        <w:rPr>
          <w:rFonts w:hint="eastAsia"/>
          <w:lang w:val="en-US" w:eastAsia="zh-CN"/>
        </w:rPr>
      </w:pPr>
      <w:r>
        <w:rPr>
          <w:rFonts w:hint="eastAsia"/>
          <w:lang w:val="en-US" w:eastAsia="zh-CN"/>
        </w:rPr>
        <w:br w:type="page"/>
      </w:r>
    </w:p>
    <w:p>
      <w:pPr>
        <w:pStyle w:val="41"/>
        <w:rPr>
          <w:rFonts w:hint="eastAsia"/>
          <w:lang w:val="en-US" w:eastAsia="zh-CN"/>
        </w:rPr>
      </w:pPr>
      <w:r>
        <w:rPr>
          <w:rFonts w:hint="eastAsia"/>
          <w:lang w:val="en-US" w:eastAsia="zh-CN"/>
        </w:rPr>
        <w:t>第三章  供应商须知</w:t>
      </w:r>
    </w:p>
    <w:p>
      <w:pPr>
        <w:pStyle w:val="42"/>
        <w:rPr>
          <w:rFonts w:hint="eastAsia"/>
        </w:rPr>
      </w:pPr>
      <w:r>
        <w:rPr>
          <w:rFonts w:hint="eastAsia"/>
          <w:lang w:val="en-US" w:eastAsia="zh-CN"/>
        </w:rPr>
        <w:t>供应商</w:t>
      </w:r>
      <w:r>
        <w:rPr>
          <w:rFonts w:hint="eastAsia"/>
        </w:rPr>
        <w:t>须知前附表</w:t>
      </w:r>
    </w:p>
    <w:tbl>
      <w:tblPr>
        <w:tblStyle w:val="2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vAlign w:val="center"/>
          </w:tcPr>
          <w:p>
            <w:pPr>
              <w:pStyle w:val="14"/>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vAlign w:val="top"/>
          </w:tcPr>
          <w:p>
            <w:pPr>
              <w:pStyle w:val="14"/>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vAlign w:val="center"/>
          </w:tcPr>
          <w:p>
            <w:pPr>
              <w:pStyle w:val="14"/>
              <w:spacing w:line="360" w:lineRule="exact"/>
              <w:rPr>
                <w:rFonts w:hint="default" w:ascii="宋体" w:hAnsi="宋体" w:eastAsia="宋体" w:cs="宋体"/>
                <w:lang w:val="en-US" w:eastAsia="zh-CN"/>
              </w:rPr>
            </w:pPr>
            <w:r>
              <w:rPr>
                <w:rFonts w:hint="eastAsia" w:ascii="宋体" w:hAnsi="宋体" w:eastAsia="宋体" w:cs="宋体"/>
              </w:rPr>
              <w:t>采购人：</w:t>
            </w:r>
            <w:r>
              <w:rPr>
                <w:rFonts w:hint="eastAsia" w:hAnsi="宋体" w:cs="宋体"/>
                <w:lang w:val="en-US" w:eastAsia="zh-CN"/>
              </w:rPr>
              <w:t>广西钦保国际贸易有限公司</w:t>
            </w:r>
          </w:p>
          <w:p>
            <w:pPr>
              <w:pStyle w:val="14"/>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eastAsia="zh-CN"/>
              </w:rPr>
              <w:t>王文虎</w:t>
            </w:r>
          </w:p>
          <w:p>
            <w:pPr>
              <w:pStyle w:val="14"/>
              <w:spacing w:line="360" w:lineRule="exact"/>
              <w:rPr>
                <w:rFonts w:hint="default" w:ascii="宋体" w:hAnsi="宋体" w:eastAsia="宋体" w:cs="宋体"/>
                <w:lang w:val="en-US" w:eastAsia="zh-CN"/>
              </w:rPr>
            </w:pPr>
            <w:r>
              <w:rPr>
                <w:rFonts w:hint="eastAsia" w:ascii="宋体" w:hAnsi="宋体" w:eastAsia="宋体" w:cs="宋体"/>
              </w:rPr>
              <w:t>电话：</w:t>
            </w:r>
            <w:r>
              <w:rPr>
                <w:rFonts w:hint="eastAsia" w:ascii="宋体" w:hAnsi="宋体" w:eastAsia="宋体" w:cs="宋体"/>
                <w:b w:val="0"/>
                <w:bCs/>
                <w:sz w:val="24"/>
                <w:szCs w:val="24"/>
                <w:u w:val="none"/>
                <w:lang w:val="en-US" w:eastAsia="zh-CN"/>
              </w:rPr>
              <w:t>13907892923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rPr>
            </w:pPr>
            <w:r>
              <w:rPr>
                <w:rFonts w:hint="eastAsia" w:ascii="宋体" w:hAnsi="宋体" w:eastAsia="宋体" w:cs="宋体"/>
                <w:lang w:val="en-US" w:eastAsia="zh-CN"/>
              </w:rPr>
              <w:t>1.2</w:t>
            </w: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vAlign w:val="center"/>
          </w:tcPr>
          <w:p>
            <w:pPr>
              <w:pStyle w:val="14"/>
              <w:spacing w:line="360" w:lineRule="exact"/>
              <w:rPr>
                <w:rFonts w:hint="eastAsia" w:ascii="宋体" w:hAnsi="宋体" w:eastAsia="宋体" w:cs="宋体"/>
                <w:szCs w:val="21"/>
              </w:rPr>
            </w:pPr>
            <w:r>
              <w:rPr>
                <w:rFonts w:hint="eastAsia" w:ascii="宋体" w:hAnsi="宋体" w:eastAsia="宋体" w:cs="宋体"/>
                <w:b w:val="0"/>
                <w:bCs/>
                <w:sz w:val="21"/>
                <w:szCs w:val="21"/>
                <w:lang w:val="en-US" w:eastAsia="zh-CN"/>
              </w:rPr>
              <w:t>粮食加工产业园视频监控设备采购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pStyle w:val="14"/>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w:t>
            </w: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采购预算</w:t>
            </w:r>
          </w:p>
        </w:tc>
        <w:tc>
          <w:tcPr>
            <w:tcW w:w="6418" w:type="dxa"/>
            <w:vAlign w:val="center"/>
          </w:tcPr>
          <w:p>
            <w:pPr>
              <w:pStyle w:val="14"/>
              <w:spacing w:line="360" w:lineRule="exact"/>
              <w:rPr>
                <w:rFonts w:hint="eastAsia" w:ascii="宋体" w:hAnsi="宋体" w:eastAsia="宋体" w:cs="宋体"/>
              </w:rPr>
            </w:pPr>
            <w:r>
              <w:rPr>
                <w:rFonts w:hint="eastAsia" w:ascii="宋体" w:hAnsi="宋体" w:eastAsia="宋体" w:cs="宋体"/>
                <w:b w:val="0"/>
                <w:bCs/>
                <w:sz w:val="24"/>
                <w:szCs w:val="24"/>
                <w:lang w:val="en-US" w:eastAsia="zh-CN"/>
              </w:rPr>
              <w:t>人民币肆拾万</w:t>
            </w:r>
            <w:r>
              <w:rPr>
                <w:rFonts w:hint="eastAsia" w:hAnsi="宋体" w:cs="宋体"/>
                <w:b w:val="0"/>
                <w:bCs/>
                <w:sz w:val="24"/>
                <w:szCs w:val="24"/>
                <w:lang w:val="en-US" w:eastAsia="zh-CN"/>
              </w:rPr>
              <w:t>元</w:t>
            </w:r>
            <w:r>
              <w:rPr>
                <w:rFonts w:hint="eastAsia" w:ascii="宋体" w:hAnsi="宋体" w:eastAsia="宋体" w:cs="宋体"/>
              </w:rPr>
              <w:t>（￥：</w:t>
            </w:r>
            <w:r>
              <w:rPr>
                <w:rFonts w:hint="eastAsia" w:ascii="Tahoma" w:hAnsi="Tahoma" w:eastAsia="宋体" w:cs="Tahoma"/>
                <w:i w:val="0"/>
                <w:iCs w:val="0"/>
                <w:caps w:val="0"/>
                <w:spacing w:val="0"/>
                <w:sz w:val="22"/>
                <w:szCs w:val="22"/>
                <w:shd w:val="clear" w:fill="F2F2F7"/>
                <w:lang w:val="en-US" w:eastAsia="zh-CN"/>
              </w:rPr>
              <w:t>400000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4</w:t>
            </w:r>
          </w:p>
        </w:tc>
        <w:tc>
          <w:tcPr>
            <w:tcW w:w="1711" w:type="dxa"/>
            <w:vAlign w:val="center"/>
          </w:tcPr>
          <w:p>
            <w:pPr>
              <w:pStyle w:val="14"/>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tc>
        <w:tc>
          <w:tcPr>
            <w:tcW w:w="6418" w:type="dxa"/>
            <w:vAlign w:val="center"/>
          </w:tcPr>
          <w:p>
            <w:pPr>
              <w:pStyle w:val="14"/>
              <w:spacing w:line="360" w:lineRule="exact"/>
              <w:rPr>
                <w:rFonts w:hint="eastAsia" w:ascii="宋体" w:hAnsi="宋体" w:eastAsia="宋体" w:cs="宋体"/>
              </w:rPr>
            </w:pPr>
            <w:r>
              <w:rPr>
                <w:rFonts w:hint="eastAsia" w:ascii="宋体" w:hAnsi="宋体" w:eastAsia="宋体" w:cs="宋体"/>
                <w:b w:val="0"/>
                <w:bCs/>
                <w:sz w:val="24"/>
                <w:szCs w:val="24"/>
                <w:lang w:val="en-US" w:eastAsia="zh-CN"/>
              </w:rPr>
              <w:t>人民币肆拾万</w:t>
            </w:r>
            <w:r>
              <w:rPr>
                <w:rFonts w:hint="eastAsia" w:hAnsi="宋体" w:cs="宋体"/>
                <w:b w:val="0"/>
                <w:bCs/>
                <w:sz w:val="24"/>
                <w:szCs w:val="24"/>
                <w:lang w:val="en-US" w:eastAsia="zh-CN"/>
              </w:rPr>
              <w:t>元</w:t>
            </w:r>
            <w:r>
              <w:rPr>
                <w:rFonts w:hint="eastAsia" w:ascii="宋体" w:hAnsi="宋体" w:eastAsia="宋体" w:cs="宋体"/>
                <w:color w:val="FF0000"/>
              </w:rPr>
              <w:t>（￥：</w:t>
            </w:r>
            <w:r>
              <w:rPr>
                <w:rFonts w:hint="eastAsia" w:ascii="Tahoma" w:hAnsi="Tahoma" w:eastAsia="宋体" w:cs="Tahoma"/>
                <w:i w:val="0"/>
                <w:iCs w:val="0"/>
                <w:caps w:val="0"/>
                <w:spacing w:val="0"/>
                <w:sz w:val="22"/>
                <w:szCs w:val="22"/>
                <w:shd w:val="clear" w:fill="F2F2F7"/>
                <w:lang w:val="en-US" w:eastAsia="zh-CN"/>
              </w:rPr>
              <w:t>400000</w:t>
            </w:r>
            <w:r>
              <w:rPr>
                <w:rFonts w:hint="eastAsia" w:ascii="宋体" w:hAnsi="宋体" w:eastAsia="宋体" w:cs="宋体"/>
                <w:color w:val="FF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1711" w:type="dxa"/>
            <w:vAlign w:val="center"/>
          </w:tcPr>
          <w:p>
            <w:pPr>
              <w:pStyle w:val="14"/>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vAlign w:val="center"/>
          </w:tcPr>
          <w:p>
            <w:pPr>
              <w:pStyle w:val="14"/>
              <w:spacing w:line="360" w:lineRule="exact"/>
              <w:rPr>
                <w:rFonts w:hint="default" w:ascii="宋体" w:hAnsi="宋体" w:eastAsia="宋体" w:cs="宋体"/>
                <w:lang w:val="en-US" w:eastAsia="zh-CN"/>
              </w:rPr>
            </w:pPr>
            <w:r>
              <w:rPr>
                <w:rFonts w:ascii="Tahoma" w:hAnsi="Tahoma" w:eastAsia="Tahoma" w:cs="Tahoma"/>
                <w:i w:val="0"/>
                <w:iCs w:val="0"/>
                <w:caps w:val="0"/>
                <w:color w:val="333333"/>
                <w:spacing w:val="0"/>
                <w:sz w:val="21"/>
                <w:szCs w:val="21"/>
                <w:shd w:val="clear" w:fill="FFFFFF"/>
              </w:rPr>
              <w:t>北部湾（钦州）国际粮食加工产业园项目的信贷专项资金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711" w:type="dxa"/>
            <w:vAlign w:val="center"/>
          </w:tcPr>
          <w:p>
            <w:pPr>
              <w:pStyle w:val="14"/>
              <w:spacing w:line="360" w:lineRule="exact"/>
              <w:jc w:val="center"/>
              <w:rPr>
                <w:rFonts w:hint="eastAsia" w:ascii="宋体" w:hAnsi="宋体" w:eastAsia="宋体" w:cs="宋体"/>
              </w:rPr>
            </w:pPr>
            <w:r>
              <w:rPr>
                <w:rFonts w:hint="eastAsia" w:hAnsi="宋体" w:cs="宋体"/>
                <w:szCs w:val="21"/>
                <w:lang w:eastAsia="zh-CN"/>
              </w:rPr>
              <w:t>招标</w:t>
            </w:r>
            <w:r>
              <w:rPr>
                <w:rFonts w:hint="eastAsia" w:ascii="宋体" w:hAnsi="宋体" w:eastAsia="宋体" w:cs="宋体"/>
                <w:szCs w:val="21"/>
              </w:rPr>
              <w:t>文件的获取</w:t>
            </w:r>
          </w:p>
        </w:tc>
        <w:tc>
          <w:tcPr>
            <w:tcW w:w="6418" w:type="dxa"/>
            <w:vAlign w:val="center"/>
          </w:tcPr>
          <w:p>
            <w:pPr>
              <w:pStyle w:val="14"/>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5"/>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11" w:type="dxa"/>
            <w:vAlign w:val="center"/>
          </w:tcPr>
          <w:p>
            <w:pPr>
              <w:pStyle w:val="14"/>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vAlign w:val="center"/>
          </w:tcPr>
          <w:p>
            <w:pPr>
              <w:pStyle w:val="14"/>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1.供应商应当具备下列条件</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1</w:t>
            </w:r>
            <w:r>
              <w:rPr>
                <w:rFonts w:hint="eastAsia" w:hAnsi="宋体" w:cs="宋体"/>
                <w:spacing w:val="6"/>
                <w:kern w:val="48"/>
                <w:lang w:eastAsia="zh-CN"/>
              </w:rPr>
              <w:t>）</w:t>
            </w:r>
            <w:r>
              <w:rPr>
                <w:rFonts w:hint="eastAsia" w:ascii="宋体" w:hAnsi="宋体" w:eastAsia="宋体" w:cs="宋体"/>
                <w:spacing w:val="6"/>
                <w:kern w:val="48"/>
              </w:rPr>
              <w:t>国内注册</w:t>
            </w:r>
            <w:r>
              <w:rPr>
                <w:rFonts w:hint="eastAsia" w:hAnsi="宋体" w:cs="宋体"/>
                <w:spacing w:val="6"/>
                <w:kern w:val="48"/>
                <w:lang w:eastAsia="zh-CN"/>
              </w:rPr>
              <w:t>（</w:t>
            </w:r>
            <w:r>
              <w:rPr>
                <w:rFonts w:hint="eastAsia" w:ascii="宋体" w:hAnsi="宋体" w:eastAsia="宋体" w:cs="宋体"/>
                <w:spacing w:val="6"/>
                <w:kern w:val="48"/>
              </w:rPr>
              <w:t>指按国家有关规定要求注册</w:t>
            </w:r>
            <w:r>
              <w:rPr>
                <w:rFonts w:hint="eastAsia" w:hAnsi="宋体" w:cs="宋体"/>
                <w:spacing w:val="6"/>
                <w:kern w:val="48"/>
                <w:lang w:eastAsia="zh-CN"/>
              </w:rPr>
              <w:t>），</w:t>
            </w:r>
            <w:r>
              <w:rPr>
                <w:rFonts w:hint="eastAsia" w:ascii="宋体" w:hAnsi="宋体" w:eastAsia="宋体" w:cs="宋体"/>
                <w:spacing w:val="6"/>
                <w:kern w:val="48"/>
              </w:rPr>
              <w:t>依法能提供本次采购</w:t>
            </w:r>
            <w:r>
              <w:rPr>
                <w:rFonts w:hint="eastAsia" w:ascii="宋体" w:hAnsi="宋体" w:eastAsia="宋体" w:cs="宋体"/>
                <w:b/>
                <w:bCs/>
                <w:color w:val="FF0000"/>
                <w:spacing w:val="6"/>
                <w:kern w:val="48"/>
              </w:rPr>
              <w:t>货物、工程和服务</w:t>
            </w:r>
            <w:r>
              <w:rPr>
                <w:rFonts w:hint="eastAsia" w:ascii="宋体" w:hAnsi="宋体" w:eastAsia="宋体" w:cs="宋体"/>
                <w:spacing w:val="6"/>
                <w:kern w:val="48"/>
              </w:rPr>
              <w:t>的供应商</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2</w:t>
            </w:r>
            <w:r>
              <w:rPr>
                <w:rFonts w:hint="eastAsia" w:hAnsi="宋体" w:cs="宋体"/>
                <w:spacing w:val="6"/>
                <w:kern w:val="48"/>
                <w:lang w:eastAsia="zh-CN"/>
              </w:rPr>
              <w:t>）</w:t>
            </w:r>
            <w:r>
              <w:rPr>
                <w:rFonts w:hint="eastAsia" w:ascii="宋体" w:hAnsi="宋体" w:eastAsia="宋体" w:cs="宋体"/>
                <w:spacing w:val="6"/>
                <w:kern w:val="48"/>
              </w:rPr>
              <w:t>具有独立承担民事责任的能力</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3</w:t>
            </w:r>
            <w:r>
              <w:rPr>
                <w:rFonts w:hint="eastAsia" w:hAnsi="宋体" w:cs="宋体"/>
                <w:spacing w:val="6"/>
                <w:kern w:val="48"/>
                <w:lang w:eastAsia="zh-CN"/>
              </w:rPr>
              <w:t>）</w:t>
            </w:r>
            <w:r>
              <w:rPr>
                <w:rFonts w:hint="eastAsia" w:ascii="宋体" w:hAnsi="宋体" w:eastAsia="宋体" w:cs="宋体"/>
                <w:spacing w:val="6"/>
                <w:kern w:val="48"/>
              </w:rPr>
              <w:t>具有良好的商业信誉和健全的财务会计制度</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4</w:t>
            </w:r>
            <w:r>
              <w:rPr>
                <w:rFonts w:hint="eastAsia" w:hAnsi="宋体" w:cs="宋体"/>
                <w:spacing w:val="6"/>
                <w:kern w:val="48"/>
                <w:lang w:eastAsia="zh-CN"/>
              </w:rPr>
              <w:t>）</w:t>
            </w:r>
            <w:r>
              <w:rPr>
                <w:rFonts w:hint="eastAsia" w:ascii="宋体" w:hAnsi="宋体" w:eastAsia="宋体" w:cs="宋体"/>
                <w:spacing w:val="6"/>
                <w:kern w:val="48"/>
              </w:rPr>
              <w:t>具有履行合同所必需的设备和专业技术能力</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5</w:t>
            </w:r>
            <w:r>
              <w:rPr>
                <w:rFonts w:hint="eastAsia" w:hAnsi="宋体" w:cs="宋体"/>
                <w:spacing w:val="6"/>
                <w:kern w:val="48"/>
                <w:lang w:eastAsia="zh-CN"/>
              </w:rPr>
              <w:t>）</w:t>
            </w:r>
            <w:r>
              <w:rPr>
                <w:rFonts w:hint="eastAsia" w:ascii="宋体" w:hAnsi="宋体" w:eastAsia="宋体" w:cs="宋体"/>
                <w:spacing w:val="6"/>
                <w:kern w:val="48"/>
              </w:rPr>
              <w:t>有依法缴纳税收和社会保障资金的良好记录</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6</w:t>
            </w:r>
            <w:r>
              <w:rPr>
                <w:rFonts w:hint="eastAsia" w:hAnsi="宋体" w:cs="宋体"/>
                <w:spacing w:val="6"/>
                <w:kern w:val="48"/>
                <w:lang w:eastAsia="zh-CN"/>
              </w:rPr>
              <w:t>）</w:t>
            </w:r>
            <w:r>
              <w:rPr>
                <w:rFonts w:hint="eastAsia" w:ascii="宋体" w:hAnsi="宋体" w:eastAsia="宋体" w:cs="宋体"/>
                <w:spacing w:val="6"/>
                <w:kern w:val="48"/>
              </w:rPr>
              <w:t>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7</w:t>
            </w:r>
            <w:r>
              <w:rPr>
                <w:rFonts w:hint="eastAsia" w:hAnsi="宋体" w:cs="宋体"/>
                <w:spacing w:val="6"/>
                <w:kern w:val="48"/>
                <w:lang w:eastAsia="zh-CN"/>
              </w:rPr>
              <w:t>）</w:t>
            </w:r>
            <w:r>
              <w:rPr>
                <w:rFonts w:hint="eastAsia" w:ascii="宋体" w:hAnsi="宋体" w:eastAsia="宋体" w:cs="宋体"/>
                <w:spacing w:val="6"/>
                <w:kern w:val="48"/>
              </w:rPr>
              <w:t>法律、行政法规规定的其他条件</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2.单位负责人为同一人或者存在直接控股、管理关系的不同供应商</w:t>
            </w:r>
            <w:r>
              <w:rPr>
                <w:rFonts w:hint="eastAsia" w:hAnsi="宋体" w:cs="宋体"/>
                <w:spacing w:val="6"/>
                <w:kern w:val="48"/>
                <w:lang w:eastAsia="zh-CN"/>
              </w:rPr>
              <w:t>，</w:t>
            </w:r>
            <w:r>
              <w:rPr>
                <w:rFonts w:hint="eastAsia" w:ascii="宋体" w:hAnsi="宋体" w:eastAsia="宋体" w:cs="宋体"/>
                <w:spacing w:val="6"/>
                <w:kern w:val="48"/>
              </w:rPr>
              <w:t>不得参加同一合同项下的采购活动。</w:t>
            </w:r>
          </w:p>
          <w:p>
            <w:pPr>
              <w:pStyle w:val="14"/>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3.参加采购活动前三年内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在经营活动中没有重大违法记录和不良信用记录</w:t>
            </w:r>
            <w:r>
              <w:rPr>
                <w:rFonts w:hint="eastAsia" w:hAnsi="宋体" w:cs="宋体"/>
                <w:spacing w:val="6"/>
                <w:kern w:val="48"/>
                <w:lang w:eastAsia="zh-CN"/>
              </w:rPr>
              <w:t>（</w:t>
            </w:r>
            <w:r>
              <w:rPr>
                <w:rFonts w:hint="eastAsia" w:ascii="宋体" w:hAnsi="宋体" w:eastAsia="宋体" w:cs="宋体"/>
                <w:spacing w:val="6"/>
                <w:kern w:val="48"/>
              </w:rPr>
              <w:t>在</w:t>
            </w:r>
            <w:r>
              <w:rPr>
                <w:rFonts w:hint="eastAsia" w:hAnsi="宋体" w:cs="宋体"/>
                <w:spacing w:val="6"/>
                <w:kern w:val="48"/>
                <w:lang w:eastAsia="zh-CN"/>
              </w:rPr>
              <w:t>“</w:t>
            </w:r>
            <w:r>
              <w:rPr>
                <w:rFonts w:hint="eastAsia" w:ascii="宋体" w:hAnsi="宋体" w:eastAsia="宋体" w:cs="宋体"/>
                <w:spacing w:val="6"/>
                <w:kern w:val="48"/>
              </w:rPr>
              <w:t>信用中国</w:t>
            </w:r>
            <w:r>
              <w:rPr>
                <w:rFonts w:hint="eastAsia" w:hAnsi="宋体" w:cs="宋体"/>
                <w:spacing w:val="6"/>
                <w:kern w:val="48"/>
                <w:lang w:eastAsia="zh-CN"/>
              </w:rPr>
              <w:t>”</w:t>
            </w:r>
            <w:r>
              <w:rPr>
                <w:rFonts w:hint="eastAsia" w:ascii="宋体" w:hAnsi="宋体" w:eastAsia="宋体" w:cs="宋体"/>
                <w:spacing w:val="6"/>
                <w:kern w:val="48"/>
              </w:rPr>
              <w:t>网站www.creditchina.gov.cn</w:t>
            </w:r>
            <w:r>
              <w:rPr>
                <w:rFonts w:hint="eastAsia" w:hAnsi="宋体" w:cs="宋体"/>
                <w:spacing w:val="6"/>
                <w:kern w:val="48"/>
                <w:lang w:eastAsia="zh-CN"/>
              </w:rPr>
              <w:t>，</w:t>
            </w:r>
            <w:r>
              <w:rPr>
                <w:rFonts w:hint="eastAsia" w:ascii="宋体" w:hAnsi="宋体" w:eastAsia="宋体" w:cs="宋体"/>
                <w:spacing w:val="6"/>
                <w:kern w:val="48"/>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hAnsi="宋体" w:cs="宋体"/>
                <w:spacing w:val="6"/>
                <w:kern w:val="48"/>
                <w:lang w:eastAsia="zh-CN"/>
              </w:rPr>
              <w:t>，</w:t>
            </w:r>
            <w:r>
              <w:rPr>
                <w:rFonts w:hint="eastAsia" w:ascii="宋体" w:hAnsi="宋体" w:eastAsia="宋体" w:cs="宋体"/>
                <w:spacing w:val="6"/>
                <w:kern w:val="48"/>
              </w:rPr>
              <w:t>将被拒绝参与本次采购活动</w:t>
            </w:r>
            <w:r>
              <w:rPr>
                <w:rFonts w:hint="eastAsia" w:hAnsi="宋体" w:cs="宋体"/>
                <w:spacing w:val="6"/>
                <w:kern w:val="48"/>
                <w:lang w:eastAsia="zh-CN"/>
              </w:rPr>
              <w:t>）</w:t>
            </w:r>
            <w:r>
              <w:rPr>
                <w:rFonts w:hint="eastAsia" w:ascii="宋体" w:hAnsi="宋体" w:eastAsia="宋体" w:cs="宋体"/>
                <w:spacing w:val="6"/>
                <w:kern w:val="48"/>
              </w:rPr>
              <w:t>。</w:t>
            </w:r>
          </w:p>
          <w:p>
            <w:pPr>
              <w:pStyle w:val="14"/>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4.本项目的特定资格要求</w:t>
            </w:r>
            <w:r>
              <w:rPr>
                <w:rFonts w:hint="eastAsia" w:hAnsi="宋体" w:cs="宋体"/>
                <w:spacing w:val="6"/>
                <w:kern w:val="48"/>
                <w:lang w:eastAsia="zh-CN"/>
              </w:rPr>
              <w:t>：</w:t>
            </w: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vAlign w:val="center"/>
          </w:tcPr>
          <w:p>
            <w:pPr>
              <w:pStyle w:val="14"/>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rPr>
            </w:pPr>
            <w:r>
              <w:rPr>
                <w:rFonts w:hint="eastAsia" w:hAnsi="宋体" w:cs="宋体"/>
                <w:lang w:val="en-US" w:eastAsia="zh-CN"/>
              </w:rPr>
              <w:t>13</w:t>
            </w: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vAlign w:val="center"/>
          </w:tcPr>
          <w:p>
            <w:pPr>
              <w:pStyle w:val="14"/>
              <w:spacing w:line="360" w:lineRule="exact"/>
              <w:rPr>
                <w:rFonts w:hint="eastAsia"/>
              </w:rPr>
            </w:pPr>
            <w:r>
              <w:rPr>
                <w:rFonts w:hint="eastAsia"/>
                <w:lang w:val="en-US" w:eastAsia="zh-CN"/>
              </w:rPr>
              <w:t>响应</w:t>
            </w:r>
            <w:r>
              <w:rPr>
                <w:rFonts w:hint="eastAsia"/>
              </w:rPr>
              <w:t>文件：</w:t>
            </w:r>
            <w:r>
              <w:rPr>
                <w:rFonts w:hint="eastAsia"/>
                <w:b/>
                <w:bCs/>
                <w:color w:val="FF0000"/>
              </w:rPr>
              <w:t>正本1份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18</w:t>
            </w:r>
          </w:p>
        </w:tc>
        <w:tc>
          <w:tcPr>
            <w:tcW w:w="1711" w:type="dxa"/>
            <w:vAlign w:val="center"/>
          </w:tcPr>
          <w:p>
            <w:pPr>
              <w:pStyle w:val="14"/>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vAlign w:val="center"/>
          </w:tcPr>
          <w:p>
            <w:pPr>
              <w:pStyle w:val="14"/>
              <w:spacing w:line="360" w:lineRule="exact"/>
              <w:rPr>
                <w:rFonts w:hint="default" w:ascii="宋体" w:hAnsi="宋体" w:eastAsia="宋体" w:cs="宋体"/>
                <w:lang w:val="en-US" w:eastAsia="zh-CN"/>
              </w:rPr>
            </w:pPr>
            <w:r>
              <w:rPr>
                <w:rFonts w:hint="eastAsia" w:ascii="宋体" w:hAnsi="宋体" w:eastAsia="宋体" w:cs="宋体"/>
                <w:b w:val="0"/>
                <w:bCs w:val="0"/>
                <w:color w:val="FF0000"/>
                <w:kern w:val="2"/>
                <w:sz w:val="24"/>
                <w:szCs w:val="24"/>
                <w:lang w:val="en-US" w:eastAsia="zh-CN" w:bidi="zh-CN"/>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rPr>
            </w:pP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vAlign w:val="center"/>
          </w:tcPr>
          <w:p>
            <w:pPr>
              <w:pStyle w:val="14"/>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rPr>
            </w:pP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vAlign w:val="center"/>
          </w:tcPr>
          <w:p>
            <w:pPr>
              <w:pStyle w:val="14"/>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rPr>
            </w:pP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vAlign w:val="center"/>
          </w:tcPr>
          <w:p>
            <w:pPr>
              <w:pStyle w:val="14"/>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响应文件提交</w:t>
            </w:r>
          </w:p>
          <w:p>
            <w:pPr>
              <w:pStyle w:val="14"/>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vAlign w:val="center"/>
          </w:tcPr>
          <w:p>
            <w:pPr>
              <w:pStyle w:val="14"/>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p>
        </w:tc>
        <w:tc>
          <w:tcPr>
            <w:tcW w:w="1711" w:type="dxa"/>
            <w:vAlign w:val="center"/>
          </w:tcPr>
          <w:p>
            <w:pPr>
              <w:pStyle w:val="14"/>
              <w:spacing w:line="360" w:lineRule="exact"/>
              <w:jc w:val="center"/>
              <w:rPr>
                <w:rFonts w:hint="eastAsia" w:ascii="宋体" w:hAnsi="宋体" w:eastAsia="宋体" w:cs="宋体"/>
              </w:rPr>
            </w:pPr>
            <w:r>
              <w:rPr>
                <w:rFonts w:hint="eastAsia" w:hAnsi="宋体" w:cs="宋体"/>
                <w:szCs w:val="21"/>
                <w:lang w:eastAsia="zh-CN"/>
              </w:rPr>
              <w:t>磋商</w:t>
            </w:r>
            <w:r>
              <w:rPr>
                <w:rFonts w:hint="eastAsia" w:ascii="宋体" w:hAnsi="宋体" w:eastAsia="宋体" w:cs="宋体"/>
              </w:rPr>
              <w:t>时间和地点</w:t>
            </w:r>
          </w:p>
        </w:tc>
        <w:tc>
          <w:tcPr>
            <w:tcW w:w="6418" w:type="dxa"/>
            <w:vAlign w:val="center"/>
          </w:tcPr>
          <w:p>
            <w:pPr>
              <w:pStyle w:val="14"/>
              <w:spacing w:line="360" w:lineRule="exact"/>
              <w:rPr>
                <w:rFonts w:hint="default" w:ascii="宋体" w:hAnsi="宋体" w:eastAsia="宋体" w:cs="宋体"/>
                <w:lang w:val="en-US" w:eastAsia="zh-CN"/>
              </w:rPr>
            </w:pPr>
            <w:r>
              <w:rPr>
                <w:rFonts w:hint="default" w:ascii="宋体" w:hAnsi="宋体" w:eastAsia="宋体" w:cs="宋体"/>
                <w:lang w:val="en-US" w:eastAsia="zh-CN"/>
              </w:rPr>
              <w:t>供应商不需要到达开标现场。采购人要求多次报价的，由采购人另行通知所有提交响应文件的竞标人。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adjustRightInd w:val="0"/>
              <w:spacing w:line="360" w:lineRule="exact"/>
              <w:jc w:val="center"/>
              <w:rPr>
                <w:rFonts w:hint="default" w:ascii="宋体" w:hAnsi="宋体" w:eastAsia="宋体" w:cs="宋体"/>
                <w:szCs w:val="21"/>
                <w:lang w:val="en-US" w:eastAsia="zh-CN"/>
              </w:rPr>
            </w:pPr>
          </w:p>
        </w:tc>
        <w:tc>
          <w:tcPr>
            <w:tcW w:w="1711" w:type="dxa"/>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4"/>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2"/>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3"/>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w:t>
      </w:r>
      <w:r>
        <w:rPr>
          <w:rFonts w:hint="eastAsia" w:ascii="宋体" w:hAnsi="宋体" w:eastAsia="宋体" w:cs="宋体"/>
          <w:sz w:val="24"/>
          <w:szCs w:val="24"/>
          <w:lang w:val="en-US" w:bidi="zh-CN"/>
        </w:rPr>
        <w:t>人</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采购预算：见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bidi="zh-CN"/>
        </w:rPr>
      </w:pPr>
      <w:r>
        <w:rPr>
          <w:rFonts w:hint="eastAsia" w:ascii="宋体" w:hAnsi="宋体" w:eastAsia="宋体" w:cs="宋体"/>
          <w:sz w:val="24"/>
          <w:szCs w:val="24"/>
          <w:lang w:val="en-US" w:bidi="zh-CN"/>
        </w:rPr>
        <w:t>1.4最高限价：</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5</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6</w:t>
      </w:r>
      <w:r>
        <w:rPr>
          <w:rFonts w:hint="default" w:ascii="宋体" w:hAnsi="宋体" w:eastAsia="宋体" w:cs="宋体"/>
          <w:sz w:val="24"/>
          <w:szCs w:val="24"/>
          <w:lang w:bidi="zh-CN"/>
        </w:rPr>
        <w:t>获取竞争性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1.7采购文件：是指采购人为完成采购活动所制定的文件，包括商务性文件内容和技术性文件内容（包括但不限于竞争性磋商文件、澄清或者更正公告等）。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1.8供应商：是指有能力向采购人提供符合本项目技术规格要求的货物、工程、服务的法人、其他组织和自然人。</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公告、竞争性</w:t>
      </w:r>
      <w:r>
        <w:rPr>
          <w:rFonts w:hint="eastAsia" w:ascii="宋体" w:hAnsi="宋体" w:eastAsia="宋体" w:cs="宋体"/>
          <w:sz w:val="24"/>
          <w:szCs w:val="24"/>
          <w:lang w:bidi="zh-CN"/>
        </w:rPr>
        <w:t>磋商</w:t>
      </w:r>
      <w:r>
        <w:rPr>
          <w:rFonts w:hint="eastAsia" w:ascii="宋体" w:hAnsi="宋体" w:eastAsia="宋体" w:cs="宋体"/>
          <w:sz w:val="24"/>
          <w:szCs w:val="24"/>
          <w:lang w:val="en-US" w:bidi="zh-CN"/>
        </w:rPr>
        <w:t>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5"/>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3"/>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3"/>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3"/>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3"/>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3"/>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2"/>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3"/>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竞争性磋商</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文件作出实质性响应。</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3"/>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3"/>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3"/>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3"/>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41"/>
        <w:rPr>
          <w:rFonts w:hint="eastAsia"/>
          <w:lang w:val="en-US" w:eastAsia="zh-CN"/>
        </w:rPr>
      </w:pPr>
      <w:r>
        <w:rPr>
          <w:rFonts w:hint="eastAsia"/>
          <w:lang w:val="en-US" w:eastAsia="zh-CN"/>
        </w:rPr>
        <w:t>第四章  评审办法</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磋商</w:t>
      </w:r>
      <w:r>
        <w:rPr>
          <w:rFonts w:hint="eastAsia" w:ascii="宋体" w:hAnsi="宋体" w:eastAsia="宋体" w:cs="宋体"/>
          <w:lang w:val="en-US" w:eastAsia="zh-CN" w:bidi="zh-CN"/>
        </w:rPr>
        <w:t>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本采购项目的磋商小组分别由依法组成的评审专家、采购人代表等三人以上单数组成，其中专家人数不少于成员总数的三分之二。</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本次评审采用综合评分法。磋商小组对资格和符合性审查合格的响应文件，采用综</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合评分法法进行评审。磋商小组将以采购文件、响应文件为评审依据，以满足采购文件全部实质性要求且最终得分最高的原则确定成交供应商。</w:t>
      </w:r>
    </w:p>
    <w:p>
      <w:pPr>
        <w:pStyle w:val="43"/>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满足采购文件全部实质性响应要求的前提下，磋商小组将按得分由高到低顺序推荐3名成交候选供应商，并编写评审报告。评审得分相同的，按照最后报价由低到高的顺序推荐。评审得分且最后报价相同的，则按照按实施方案得分高低顺序推荐。采购人应当确定磋商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i w:val="0"/>
          <w:iCs w:val="0"/>
          <w:caps w:val="0"/>
          <w:color w:val="383838"/>
          <w:spacing w:val="0"/>
          <w:sz w:val="21"/>
          <w:szCs w:val="21"/>
          <w:shd w:val="clear" w:fill="FFFFFF"/>
          <w:lang w:val="en-US" w:eastAsia="zh-CN"/>
        </w:rPr>
      </w:pPr>
      <w:r>
        <w:rPr>
          <w:rFonts w:hint="eastAsia"/>
          <w:lang w:val="en-US" w:eastAsia="zh-CN"/>
        </w:rPr>
        <w:br w:type="page"/>
      </w:r>
      <w:r>
        <w:rPr>
          <w:rFonts w:hint="eastAsia" w:ascii="宋体" w:hAnsi="宋体" w:eastAsia="宋体" w:cs="宋体"/>
          <w:b/>
          <w:bCs/>
          <w:i w:val="0"/>
          <w:iCs w:val="0"/>
          <w:caps w:val="0"/>
          <w:color w:val="383838"/>
          <w:spacing w:val="0"/>
          <w:sz w:val="36"/>
          <w:szCs w:val="36"/>
          <w:shd w:val="clear" w:fill="FFFFFF"/>
          <w:lang w:val="en-US" w:eastAsia="zh-CN"/>
        </w:rPr>
        <w:t>第五章、定标方式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ascii="宋体" w:hAnsi="宋体" w:eastAsia="宋体" w:cs="宋体"/>
          <w:i w:val="0"/>
          <w:iCs w:val="0"/>
          <w:caps w:val="0"/>
          <w:color w:val="000000"/>
          <w:spacing w:val="0"/>
          <w:sz w:val="28"/>
          <w:szCs w:val="28"/>
          <w:u w:val="none"/>
          <w:shd w:val="clear" w:fill="FFFFFF"/>
          <w:vertAlign w:val="baseline"/>
        </w:rPr>
        <w:t>综合评</w:t>
      </w:r>
      <w:r>
        <w:rPr>
          <w:rFonts w:hint="eastAsia" w:ascii="宋体" w:hAnsi="宋体" w:eastAsia="宋体" w:cs="宋体"/>
          <w:i w:val="0"/>
          <w:iCs w:val="0"/>
          <w:caps w:val="0"/>
          <w:color w:val="000000"/>
          <w:spacing w:val="0"/>
          <w:sz w:val="28"/>
          <w:szCs w:val="28"/>
          <w:u w:val="none"/>
          <w:shd w:val="clear" w:fill="FFFFFF"/>
          <w:vertAlign w:val="baseline"/>
          <w:lang w:eastAsia="zh-CN"/>
        </w:rPr>
        <w:t>分</w:t>
      </w:r>
      <w:r>
        <w:rPr>
          <w:rFonts w:hint="eastAsia" w:ascii="宋体" w:hAnsi="宋体" w:eastAsia="宋体" w:cs="宋体"/>
          <w:i w:val="0"/>
          <w:iCs w:val="0"/>
          <w:caps w:val="0"/>
          <w:color w:val="000000"/>
          <w:spacing w:val="0"/>
          <w:sz w:val="28"/>
          <w:szCs w:val="28"/>
          <w:u w:val="none"/>
          <w:shd w:val="clear" w:fill="FFFFFF"/>
          <w:vertAlign w:val="baseline"/>
        </w:rPr>
        <w:t>法</w:t>
      </w:r>
    </w:p>
    <w:p>
      <w:pPr>
        <w:spacing w:line="380" w:lineRule="exact"/>
        <w:ind w:firstLine="420" w:firstLineChars="200"/>
        <w:rPr>
          <w:color w:val="000000"/>
        </w:rPr>
      </w:pPr>
      <w:r>
        <w:rPr>
          <w:rFonts w:hint="eastAsia"/>
          <w:color w:val="000000"/>
        </w:rPr>
        <w:t>本次评</w:t>
      </w:r>
      <w:r>
        <w:rPr>
          <w:rFonts w:hint="eastAsia"/>
          <w:color w:val="000000"/>
          <w:lang w:val="en-US" w:eastAsia="zh-CN"/>
        </w:rPr>
        <w:t>审</w:t>
      </w:r>
      <w:r>
        <w:rPr>
          <w:rFonts w:hint="eastAsia"/>
          <w:color w:val="000000"/>
        </w:rPr>
        <w:t>采用综合评分法。评</w:t>
      </w:r>
      <w:r>
        <w:rPr>
          <w:rFonts w:hint="eastAsia"/>
          <w:color w:val="000000"/>
          <w:lang w:val="en-US" w:eastAsia="zh-CN"/>
        </w:rPr>
        <w:t>审</w:t>
      </w:r>
      <w:r>
        <w:rPr>
          <w:rFonts w:hint="eastAsia"/>
          <w:color w:val="000000"/>
        </w:rPr>
        <w:t>委员会对满足磋商文件实质性要求的响应文件，按照本章第2.1款规定的评分标准进行打分，并按得分由高到低顺序推荐成交候选人。评分相等时，以投标报价低的优先；投标报价也相等的，招标人根据响应文件企业信用评价等级、业绩、施工组织设计、人员能力、财务能力等综合考虑成交人顺序。</w:t>
      </w:r>
    </w:p>
    <w:p>
      <w:pPr>
        <w:pStyle w:val="45"/>
        <w:spacing w:line="380" w:lineRule="exact"/>
        <w:rPr>
          <w:color w:val="000000"/>
        </w:rPr>
      </w:pPr>
      <w:bookmarkStart w:id="0" w:name="_Toc152045590"/>
      <w:bookmarkStart w:id="1" w:name="_Toc13168"/>
      <w:bookmarkStart w:id="2" w:name="_Toc144974557"/>
      <w:bookmarkStart w:id="3" w:name="_Toc179632608"/>
      <w:bookmarkStart w:id="4" w:name="_Toc152042367"/>
      <w:bookmarkStart w:id="5" w:name="_Toc369951717"/>
      <w:r>
        <w:rPr>
          <w:rFonts w:hint="eastAsia"/>
          <w:color w:val="000000"/>
          <w:lang w:val="en-US" w:eastAsia="zh-CN"/>
        </w:rPr>
        <w:t>21</w:t>
      </w:r>
      <w:r>
        <w:rPr>
          <w:rFonts w:hint="eastAsia"/>
          <w:color w:val="000000"/>
        </w:rPr>
        <w:t>. 评审标准</w:t>
      </w:r>
      <w:bookmarkEnd w:id="0"/>
      <w:bookmarkEnd w:id="1"/>
      <w:bookmarkEnd w:id="2"/>
      <w:bookmarkEnd w:id="3"/>
      <w:bookmarkEnd w:id="4"/>
      <w:bookmarkEnd w:id="5"/>
    </w:p>
    <w:p>
      <w:pPr>
        <w:pStyle w:val="46"/>
        <w:spacing w:line="380" w:lineRule="exact"/>
        <w:rPr>
          <w:color w:val="000000"/>
        </w:rPr>
      </w:pPr>
      <w:bookmarkStart w:id="6" w:name="_Toc179632609"/>
      <w:bookmarkStart w:id="7" w:name="_Toc152042368"/>
      <w:bookmarkStart w:id="8" w:name="_Toc152045591"/>
      <w:bookmarkStart w:id="9" w:name="_Toc144974558"/>
      <w:bookmarkStart w:id="10" w:name="_Toc7104"/>
      <w:bookmarkStart w:id="11" w:name="_Toc369951718"/>
      <w:r>
        <w:rPr>
          <w:rFonts w:hint="eastAsia"/>
          <w:color w:val="000000"/>
        </w:rPr>
        <w:t>2</w:t>
      </w:r>
      <w:r>
        <w:rPr>
          <w:rFonts w:hint="eastAsia"/>
          <w:color w:val="000000"/>
          <w:lang w:val="en-US" w:eastAsia="zh-CN"/>
        </w:rPr>
        <w:t>1</w:t>
      </w:r>
      <w:r>
        <w:rPr>
          <w:rFonts w:hint="eastAsia"/>
          <w:color w:val="000000"/>
        </w:rPr>
        <w:t>.1 初步评审标准</w:t>
      </w:r>
      <w:bookmarkEnd w:id="6"/>
      <w:bookmarkEnd w:id="7"/>
      <w:bookmarkEnd w:id="8"/>
      <w:bookmarkEnd w:id="9"/>
      <w:bookmarkEnd w:id="10"/>
      <w:bookmarkEnd w:id="11"/>
    </w:p>
    <w:p>
      <w:pPr>
        <w:spacing w:line="380" w:lineRule="exact"/>
        <w:ind w:firstLine="420" w:firstLineChars="200"/>
        <w:rPr>
          <w:rFonts w:hint="eastAsia"/>
          <w:color w:val="000000"/>
        </w:rPr>
      </w:pPr>
      <w:r>
        <w:rPr>
          <w:rFonts w:hint="eastAsia"/>
          <w:color w:val="000000"/>
        </w:rPr>
        <w:t>2.1.1 资格评审标准：见评</w:t>
      </w:r>
      <w:r>
        <w:rPr>
          <w:rFonts w:hint="eastAsia" w:asciiTheme="minorHAnsi" w:hAnsiTheme="minorHAnsi"/>
          <w:b w:val="0"/>
          <w:color w:val="000000"/>
          <w:sz w:val="21"/>
          <w:lang w:val="en-US" w:eastAsia="zh-CN"/>
        </w:rPr>
        <w:t>审</w:t>
      </w:r>
      <w:r>
        <w:rPr>
          <w:rFonts w:hint="eastAsia"/>
          <w:color w:val="000000"/>
        </w:rPr>
        <w:t>办法</w:t>
      </w:r>
      <w:r>
        <w:rPr>
          <w:rFonts w:hint="eastAsia"/>
          <w:color w:val="000000"/>
          <w:lang w:eastAsia="zh-CN"/>
        </w:rPr>
        <w:t>表</w:t>
      </w:r>
      <w:r>
        <w:rPr>
          <w:rFonts w:hint="eastAsia"/>
          <w:color w:val="000000"/>
        </w:rPr>
        <w:t>。</w:t>
      </w:r>
    </w:p>
    <w:p>
      <w:pPr>
        <w:spacing w:line="380" w:lineRule="exact"/>
        <w:ind w:firstLine="420" w:firstLineChars="200"/>
        <w:rPr>
          <w:color w:val="000000"/>
        </w:rPr>
      </w:pPr>
      <w:r>
        <w:rPr>
          <w:rFonts w:hint="eastAsia"/>
          <w:color w:val="000000"/>
        </w:rPr>
        <w:t>2.1.2 形式评审标准：见评审办法</w:t>
      </w:r>
      <w:r>
        <w:rPr>
          <w:rFonts w:hint="eastAsia"/>
          <w:color w:val="000000"/>
          <w:lang w:eastAsia="zh-CN"/>
        </w:rPr>
        <w:t>表</w:t>
      </w:r>
      <w:r>
        <w:rPr>
          <w:rFonts w:hint="eastAsia"/>
          <w:color w:val="000000"/>
        </w:rPr>
        <w:t>。</w:t>
      </w:r>
    </w:p>
    <w:p>
      <w:pPr>
        <w:spacing w:line="380" w:lineRule="exact"/>
        <w:ind w:firstLine="420" w:firstLineChars="200"/>
        <w:rPr>
          <w:color w:val="000000"/>
        </w:rPr>
      </w:pPr>
      <w:r>
        <w:rPr>
          <w:rFonts w:hint="eastAsia"/>
          <w:color w:val="000000"/>
        </w:rPr>
        <w:t>2.1.3 响应性评审标准：见评审办法</w:t>
      </w:r>
      <w:r>
        <w:rPr>
          <w:rFonts w:hint="eastAsia"/>
          <w:color w:val="000000"/>
          <w:lang w:eastAsia="zh-CN"/>
        </w:rPr>
        <w:t>表</w:t>
      </w:r>
      <w:r>
        <w:rPr>
          <w:rFonts w:hint="eastAsia"/>
          <w:color w:val="000000"/>
        </w:rPr>
        <w:t>。</w:t>
      </w:r>
    </w:p>
    <w:p>
      <w:pPr>
        <w:pStyle w:val="46"/>
        <w:spacing w:line="380" w:lineRule="exact"/>
        <w:rPr>
          <w:color w:val="000000"/>
        </w:rPr>
      </w:pPr>
      <w:bookmarkStart w:id="12" w:name="_Toc152045592"/>
      <w:bookmarkStart w:id="13" w:name="_Toc10873"/>
      <w:bookmarkStart w:id="14" w:name="_Toc179632610"/>
      <w:bookmarkStart w:id="15" w:name="_Toc144974559"/>
      <w:bookmarkStart w:id="16" w:name="_Toc369951719"/>
      <w:bookmarkStart w:id="17" w:name="_Toc152042369"/>
      <w:r>
        <w:rPr>
          <w:rFonts w:hint="eastAsia"/>
          <w:color w:val="000000"/>
        </w:rPr>
        <w:t>2</w:t>
      </w:r>
      <w:r>
        <w:rPr>
          <w:rFonts w:hint="eastAsia"/>
          <w:color w:val="000000"/>
          <w:lang w:val="en-US" w:eastAsia="zh-CN"/>
        </w:rPr>
        <w:t>1</w:t>
      </w:r>
      <w:r>
        <w:rPr>
          <w:rFonts w:hint="eastAsia"/>
          <w:color w:val="000000"/>
        </w:rPr>
        <w:t>.2 详细评审标准</w:t>
      </w:r>
      <w:bookmarkEnd w:id="12"/>
      <w:bookmarkEnd w:id="13"/>
      <w:bookmarkEnd w:id="14"/>
      <w:bookmarkEnd w:id="15"/>
      <w:bookmarkEnd w:id="16"/>
      <w:bookmarkEnd w:id="1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firstLine="315" w:firstLineChars="15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color w:val="000000"/>
        </w:rPr>
        <w:t>见评审办法</w:t>
      </w:r>
      <w:r>
        <w:rPr>
          <w:rFonts w:hint="eastAsia"/>
          <w:color w:val="000000"/>
          <w:lang w:eastAsia="zh-CN"/>
        </w:rPr>
        <w:t>表</w:t>
      </w:r>
      <w:r>
        <w:rPr>
          <w:rFonts w:hint="eastAsia"/>
          <w:color w:val="000000"/>
        </w:rPr>
        <w:t>。</w:t>
      </w:r>
    </w:p>
    <w:p>
      <w:pPr>
        <w:tabs>
          <w:tab w:val="left" w:pos="1080"/>
        </w:tabs>
        <w:spacing w:line="360" w:lineRule="exact"/>
        <w:jc w:val="center"/>
        <w:rPr>
          <w:rFonts w:hint="eastAsia" w:ascii="宋体" w:hAnsi="宋体" w:eastAsiaTheme="minorEastAsia"/>
          <w:b/>
          <w:color w:val="000000"/>
          <w:sz w:val="24"/>
          <w:lang w:eastAsia="zh-CN"/>
        </w:rPr>
      </w:pPr>
      <w:r>
        <w:rPr>
          <w:rFonts w:hint="eastAsia" w:ascii="宋体" w:hAnsi="宋体"/>
          <w:b/>
          <w:color w:val="000000"/>
          <w:sz w:val="24"/>
        </w:rPr>
        <w:t>评</w:t>
      </w:r>
      <w:r>
        <w:rPr>
          <w:rFonts w:hint="eastAsia" w:ascii="宋体" w:hAnsi="宋体"/>
          <w:b/>
          <w:color w:val="000000"/>
          <w:sz w:val="24"/>
          <w:lang w:val="en-US" w:eastAsia="zh-CN"/>
        </w:rPr>
        <w:t>审</w:t>
      </w:r>
      <w:r>
        <w:rPr>
          <w:rFonts w:hint="eastAsia" w:ascii="宋体" w:hAnsi="宋体"/>
          <w:b/>
          <w:color w:val="000000"/>
          <w:sz w:val="24"/>
        </w:rPr>
        <w:t>办法</w:t>
      </w:r>
      <w:r>
        <w:rPr>
          <w:rFonts w:hint="eastAsia" w:ascii="宋体" w:hAnsi="宋体"/>
          <w:b/>
          <w:color w:val="000000"/>
          <w:sz w:val="24"/>
          <w:lang w:eastAsia="zh-CN"/>
        </w:rPr>
        <w:t>表</w:t>
      </w:r>
    </w:p>
    <w:tbl>
      <w:tblPr>
        <w:tblStyle w:val="21"/>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309"/>
        <w:gridCol w:w="1899"/>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Align w:val="center"/>
          </w:tcPr>
          <w:p>
            <w:pPr>
              <w:pStyle w:val="44"/>
              <w:jc w:val="center"/>
              <w:rPr>
                <w:rFonts w:hint="eastAsia" w:ascii="宋体" w:hAnsi="宋体"/>
                <w:b/>
                <w:color w:val="000000"/>
              </w:rPr>
            </w:pPr>
            <w:r>
              <w:rPr>
                <w:rFonts w:hint="eastAsia" w:ascii="宋体" w:hAnsi="宋体" w:eastAsia="宋体" w:cs="宋体"/>
                <w:b/>
                <w:color w:val="000000"/>
                <w:sz w:val="21"/>
              </w:rPr>
              <w:t>条款号</w:t>
            </w:r>
          </w:p>
        </w:tc>
        <w:tc>
          <w:tcPr>
            <w:tcW w:w="1309" w:type="dxa"/>
            <w:vAlign w:val="center"/>
          </w:tcPr>
          <w:p>
            <w:pPr>
              <w:pStyle w:val="44"/>
              <w:jc w:val="center"/>
              <w:rPr>
                <w:rFonts w:hint="eastAsia" w:ascii="宋体" w:hAnsi="宋体"/>
                <w:b/>
                <w:color w:val="000000"/>
              </w:rPr>
            </w:pPr>
            <w:r>
              <w:rPr>
                <w:rFonts w:ascii="宋体" w:hAnsi="宋体" w:eastAsia="宋体" w:cs="宋体"/>
                <w:b/>
                <w:color w:val="000000"/>
                <w:sz w:val="21"/>
              </w:rPr>
              <w:t>评审因素</w:t>
            </w:r>
          </w:p>
        </w:tc>
        <w:tc>
          <w:tcPr>
            <w:tcW w:w="6602" w:type="dxa"/>
            <w:gridSpan w:val="2"/>
            <w:vAlign w:val="center"/>
          </w:tcPr>
          <w:p>
            <w:pPr>
              <w:pStyle w:val="27"/>
              <w:ind w:firstLine="812"/>
              <w:jc w:val="center"/>
              <w:rPr>
                <w:rFonts w:hint="eastAsia" w:ascii="宋体" w:hAnsi="宋体"/>
                <w:b/>
                <w:color w:val="000000"/>
                <w:lang w:val="en-US" w:eastAsia="zh-CN"/>
              </w:rPr>
            </w:pPr>
            <w:r>
              <w:rPr>
                <w:rFonts w:ascii="宋体" w:hAnsi="宋体" w:eastAsia="宋体" w:cs="宋体"/>
                <w:b/>
                <w:color w:val="000000"/>
                <w:sz w:val="21"/>
                <w:szCs w:val="24"/>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27"/>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2.1.1</w:t>
            </w:r>
          </w:p>
        </w:tc>
        <w:tc>
          <w:tcPr>
            <w:tcW w:w="1309" w:type="dxa"/>
            <w:vMerge w:val="restart"/>
            <w:vAlign w:val="center"/>
          </w:tcPr>
          <w:p>
            <w:pPr>
              <w:pStyle w:val="27"/>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资格评审标准</w:t>
            </w:r>
          </w:p>
        </w:tc>
        <w:tc>
          <w:tcPr>
            <w:tcW w:w="1899" w:type="dxa"/>
            <w:vAlign w:val="center"/>
          </w:tcPr>
          <w:p>
            <w:pPr>
              <w:pStyle w:val="44"/>
              <w:jc w:val="center"/>
              <w:rPr>
                <w:rFonts w:hint="eastAsia" w:ascii="宋体" w:hAnsi="宋体"/>
                <w:b/>
                <w:color w:val="000000"/>
              </w:rPr>
            </w:pPr>
            <w:r>
              <w:rPr>
                <w:rFonts w:ascii="宋体" w:hAnsi="宋体" w:eastAsia="宋体" w:cs="宋体"/>
                <w:color w:val="000000"/>
                <w:sz w:val="21"/>
              </w:rPr>
              <w:t>营业执照</w:t>
            </w:r>
          </w:p>
        </w:tc>
        <w:tc>
          <w:tcPr>
            <w:tcW w:w="4703" w:type="dxa"/>
            <w:vAlign w:val="center"/>
          </w:tcPr>
          <w:p>
            <w:pPr>
              <w:pStyle w:val="44"/>
              <w:rPr>
                <w:rFonts w:hint="eastAsia" w:ascii="宋体" w:hAnsi="宋体"/>
                <w:b/>
                <w:color w:val="000000"/>
              </w:rPr>
            </w:pPr>
            <w:r>
              <w:rPr>
                <w:rFonts w:ascii="宋体" w:hAnsi="宋体" w:eastAsia="宋体" w:cs="宋体"/>
                <w:color w:val="000000"/>
                <w:sz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center"/>
          </w:tcPr>
          <w:p>
            <w:pPr>
              <w:pStyle w:val="27"/>
              <w:ind w:firstLine="810"/>
              <w:jc w:val="center"/>
              <w:rPr>
                <w:rFonts w:hint="eastAsia" w:ascii="宋体" w:hAnsi="宋体" w:eastAsia="宋体" w:cs="宋体"/>
                <w:bCs w:val="0"/>
                <w:color w:val="000000"/>
                <w:sz w:val="21"/>
                <w:szCs w:val="24"/>
                <w:lang w:val="en-US" w:eastAsia="zh-CN"/>
              </w:rPr>
            </w:pPr>
          </w:p>
        </w:tc>
        <w:tc>
          <w:tcPr>
            <w:tcW w:w="1309" w:type="dxa"/>
            <w:vMerge w:val="continue"/>
            <w:vAlign w:val="center"/>
          </w:tcPr>
          <w:p>
            <w:pPr>
              <w:pStyle w:val="27"/>
              <w:ind w:firstLine="918"/>
              <w:jc w:val="center"/>
              <w:rPr>
                <w:rFonts w:hint="eastAsia" w:ascii="宋体" w:hAnsi="宋体"/>
                <w:b/>
                <w:color w:val="000000"/>
                <w:lang w:val="en-US" w:eastAsia="zh-CN"/>
              </w:rPr>
            </w:pPr>
          </w:p>
        </w:tc>
        <w:tc>
          <w:tcPr>
            <w:tcW w:w="1899" w:type="dxa"/>
            <w:vAlign w:val="center"/>
          </w:tcPr>
          <w:p>
            <w:pPr>
              <w:pStyle w:val="44"/>
              <w:jc w:val="center"/>
              <w:rPr>
                <w:rFonts w:hint="eastAsia" w:ascii="宋体" w:hAnsi="宋体"/>
                <w:b/>
                <w:color w:val="000000"/>
              </w:rPr>
            </w:pPr>
            <w:r>
              <w:rPr>
                <w:rFonts w:ascii="宋体" w:hAnsi="宋体" w:eastAsia="宋体" w:cs="宋体"/>
                <w:color w:val="000000"/>
                <w:sz w:val="21"/>
              </w:rPr>
              <w:t>安全生产许可证</w:t>
            </w:r>
          </w:p>
        </w:tc>
        <w:tc>
          <w:tcPr>
            <w:tcW w:w="4703" w:type="dxa"/>
            <w:vAlign w:val="center"/>
          </w:tcPr>
          <w:p>
            <w:pPr>
              <w:pStyle w:val="44"/>
              <w:rPr>
                <w:rFonts w:hint="eastAsia" w:ascii="宋体" w:hAnsi="宋体"/>
                <w:b/>
                <w:color w:val="000000"/>
              </w:rPr>
            </w:pPr>
            <w:r>
              <w:rPr>
                <w:rFonts w:ascii="宋体" w:hAnsi="宋体" w:eastAsia="宋体" w:cs="宋体"/>
                <w:color w:val="000000"/>
                <w:sz w:val="21"/>
              </w:rPr>
              <w:t>具备有效的</w:t>
            </w:r>
            <w:bookmarkStart w:id="28" w:name="_GoBack"/>
            <w:r>
              <w:rPr>
                <w:rFonts w:ascii="宋体" w:hAnsi="宋体" w:eastAsia="宋体" w:cs="宋体"/>
                <w:color w:val="000000"/>
                <w:sz w:val="21"/>
              </w:rPr>
              <w:t>安全</w:t>
            </w:r>
            <w:bookmarkEnd w:id="28"/>
            <w:r>
              <w:rPr>
                <w:rFonts w:ascii="宋体" w:hAnsi="宋体" w:eastAsia="宋体" w:cs="宋体"/>
                <w:color w:val="000000"/>
                <w:sz w:val="21"/>
              </w:rPr>
              <w:t>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center"/>
          </w:tcPr>
          <w:p/>
        </w:tc>
        <w:tc>
          <w:tcPr>
            <w:tcW w:w="1309" w:type="dxa"/>
            <w:vMerge w:val="continue"/>
            <w:vAlign w:val="center"/>
          </w:tcPr>
          <w:p/>
        </w:tc>
        <w:tc>
          <w:tcPr>
            <w:tcW w:w="1899" w:type="dxa"/>
            <w:vAlign w:val="center"/>
          </w:tcPr>
          <w:p/>
        </w:tc>
        <w:tc>
          <w:tcPr>
            <w:tcW w:w="470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center"/>
          </w:tcPr>
          <w:p>
            <w:pPr>
              <w:pStyle w:val="27"/>
              <w:ind w:firstLine="810"/>
              <w:jc w:val="center"/>
              <w:rPr>
                <w:rFonts w:hint="eastAsia" w:ascii="宋体" w:hAnsi="宋体" w:eastAsia="宋体" w:cs="宋体"/>
                <w:bCs w:val="0"/>
                <w:color w:val="000000"/>
                <w:sz w:val="21"/>
                <w:szCs w:val="24"/>
                <w:lang w:val="en-US" w:eastAsia="zh-CN"/>
              </w:rPr>
            </w:pPr>
          </w:p>
        </w:tc>
        <w:tc>
          <w:tcPr>
            <w:tcW w:w="1309" w:type="dxa"/>
            <w:vMerge w:val="continue"/>
            <w:vAlign w:val="center"/>
          </w:tcPr>
          <w:p>
            <w:pPr>
              <w:pStyle w:val="27"/>
              <w:ind w:firstLine="918"/>
              <w:jc w:val="center"/>
              <w:rPr>
                <w:rFonts w:hint="eastAsia" w:ascii="宋体" w:hAnsi="宋体"/>
                <w:b/>
                <w:color w:val="000000"/>
                <w:lang w:val="en-US" w:eastAsia="zh-CN"/>
              </w:rPr>
            </w:pPr>
          </w:p>
        </w:tc>
        <w:tc>
          <w:tcPr>
            <w:tcW w:w="1899" w:type="dxa"/>
            <w:vAlign w:val="center"/>
          </w:tcPr>
          <w:p>
            <w:pPr>
              <w:pStyle w:val="44"/>
              <w:jc w:val="center"/>
              <w:rPr>
                <w:rFonts w:ascii="宋体" w:hAnsi="宋体" w:eastAsia="宋体" w:cs="宋体"/>
                <w:color w:val="auto"/>
                <w:sz w:val="21"/>
              </w:rPr>
            </w:pPr>
            <w:r>
              <w:rPr>
                <w:rFonts w:hint="eastAsia" w:ascii="宋体" w:hAnsi="宋体" w:eastAsia="宋体" w:cs="宋体"/>
                <w:color w:val="000000"/>
                <w:sz w:val="21"/>
              </w:rPr>
              <w:t>法定代表人身份证明及授权</w:t>
            </w:r>
          </w:p>
        </w:tc>
        <w:tc>
          <w:tcPr>
            <w:tcW w:w="4703" w:type="dxa"/>
            <w:vAlign w:val="center"/>
          </w:tcPr>
          <w:p>
            <w:pPr>
              <w:pStyle w:val="44"/>
              <w:rPr>
                <w:rFonts w:hint="eastAsia" w:ascii="宋体" w:hAnsi="宋体" w:eastAsia="宋体" w:cs="宋体"/>
                <w:color w:val="auto"/>
                <w:sz w:val="21"/>
              </w:rPr>
            </w:pPr>
            <w:r>
              <w:rPr>
                <w:rFonts w:hint="eastAsia" w:ascii="宋体" w:hAnsi="宋体" w:eastAsia="宋体" w:cs="宋体"/>
                <w:color w:val="000000"/>
                <w:sz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center"/>
          </w:tcPr>
          <w:p>
            <w:pPr>
              <w:pStyle w:val="27"/>
              <w:ind w:firstLine="810"/>
              <w:jc w:val="center"/>
              <w:rPr>
                <w:rFonts w:hint="eastAsia" w:ascii="宋体" w:hAnsi="宋体" w:eastAsia="宋体" w:cs="宋体"/>
                <w:bCs w:val="0"/>
                <w:color w:val="000000"/>
                <w:sz w:val="21"/>
                <w:szCs w:val="24"/>
                <w:lang w:val="en-US" w:eastAsia="zh-CN"/>
              </w:rPr>
            </w:pPr>
          </w:p>
        </w:tc>
        <w:tc>
          <w:tcPr>
            <w:tcW w:w="1309" w:type="dxa"/>
            <w:vMerge w:val="continue"/>
            <w:vAlign w:val="center"/>
          </w:tcPr>
          <w:p>
            <w:pPr>
              <w:pStyle w:val="27"/>
              <w:ind w:firstLine="918"/>
              <w:jc w:val="center"/>
              <w:rPr>
                <w:rFonts w:hint="eastAsia" w:ascii="宋体" w:hAnsi="宋体"/>
                <w:b/>
                <w:color w:val="000000"/>
                <w:lang w:val="en-US" w:eastAsia="zh-CN"/>
              </w:rPr>
            </w:pPr>
          </w:p>
        </w:tc>
        <w:tc>
          <w:tcPr>
            <w:tcW w:w="1899" w:type="dxa"/>
            <w:vAlign w:val="center"/>
          </w:tcPr>
          <w:p>
            <w:pPr>
              <w:pStyle w:val="44"/>
              <w:jc w:val="center"/>
              <w:rPr>
                <w:rFonts w:ascii="宋体" w:hAnsi="宋体" w:eastAsia="宋体" w:cs="宋体"/>
                <w:color w:val="000000"/>
                <w:sz w:val="21"/>
                <w:highlight w:val="none"/>
              </w:rPr>
            </w:pPr>
            <w:r>
              <w:rPr>
                <w:rFonts w:ascii="宋体" w:hAnsi="宋体" w:eastAsia="宋体" w:cs="宋体"/>
                <w:color w:val="000000"/>
                <w:sz w:val="21"/>
                <w:highlight w:val="none"/>
              </w:rPr>
              <w:t>诚信</w:t>
            </w:r>
          </w:p>
        </w:tc>
        <w:tc>
          <w:tcPr>
            <w:tcW w:w="4703" w:type="dxa"/>
            <w:vAlign w:val="center"/>
          </w:tcPr>
          <w:p>
            <w:pPr>
              <w:pStyle w:val="44"/>
              <w:rPr>
                <w:rFonts w:hint="eastAsia" w:ascii="宋体" w:hAnsi="宋体" w:eastAsia="宋体" w:cs="宋体"/>
                <w:color w:val="000000"/>
                <w:sz w:val="21"/>
                <w:highlight w:val="none"/>
              </w:rPr>
            </w:pPr>
            <w:r>
              <w:rPr>
                <w:rFonts w:hint="eastAsia" w:ascii="宋体" w:hAnsi="宋体" w:eastAsia="宋体" w:cs="宋体"/>
                <w:color w:val="000000"/>
                <w:sz w:val="21"/>
                <w:highlight w:val="none"/>
              </w:rPr>
              <w:t>未被“信用中国”（www.creditchina.gov.cn）、中国政府采购网（www.ccgp.gov.cn）列入失信被执行人、重大税收违法案件当事人名单、政府采购严重违法失信行为记录名单。</w:t>
            </w:r>
          </w:p>
          <w:p>
            <w:pPr>
              <w:pStyle w:val="44"/>
              <w:rPr>
                <w:rFonts w:ascii="宋体" w:hAnsi="宋体" w:eastAsia="宋体" w:cs="宋体"/>
                <w:color w:val="000000"/>
                <w:sz w:val="21"/>
                <w:highlight w:val="none"/>
              </w:rPr>
            </w:pPr>
            <w:r>
              <w:rPr>
                <w:rFonts w:hint="eastAsia" w:ascii="宋体" w:hAnsi="宋体" w:eastAsia="宋体" w:cs="宋体"/>
                <w:b/>
                <w:bCs/>
                <w:color w:val="000000"/>
                <w:sz w:val="21"/>
                <w:highlight w:val="none"/>
              </w:rPr>
              <w:t>[供应商参加政府采购活动前三年内在经营活动中没有重大违法记录或不良信用记录的书面声明</w:t>
            </w:r>
            <w:r>
              <w:rPr>
                <w:rFonts w:hint="eastAsia" w:ascii="宋体" w:hAnsi="宋体" w:eastAsia="宋体" w:cs="宋体"/>
                <w:color w:val="000000"/>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27"/>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2.1.2</w:t>
            </w:r>
          </w:p>
        </w:tc>
        <w:tc>
          <w:tcPr>
            <w:tcW w:w="1309" w:type="dxa"/>
            <w:vMerge w:val="restart"/>
            <w:vAlign w:val="center"/>
          </w:tcPr>
          <w:p>
            <w:pPr>
              <w:pStyle w:val="27"/>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形式评审标准</w:t>
            </w:r>
          </w:p>
        </w:tc>
        <w:tc>
          <w:tcPr>
            <w:tcW w:w="1899" w:type="dxa"/>
            <w:vAlign w:val="center"/>
          </w:tcPr>
          <w:p>
            <w:pPr>
              <w:pStyle w:val="44"/>
              <w:jc w:val="center"/>
              <w:rPr>
                <w:rFonts w:hint="eastAsia" w:ascii="宋体" w:hAnsi="宋体" w:eastAsia="宋体" w:cs="宋体"/>
                <w:color w:val="000000"/>
                <w:sz w:val="21"/>
              </w:rPr>
            </w:pPr>
            <w:r>
              <w:rPr>
                <w:rFonts w:hint="eastAsia" w:ascii="宋体" w:hAnsi="宋体" w:eastAsia="宋体" w:cs="宋体"/>
                <w:color w:val="000000"/>
                <w:sz w:val="21"/>
              </w:rPr>
              <w:t>供应商</w:t>
            </w:r>
            <w:r>
              <w:rPr>
                <w:rFonts w:ascii="宋体" w:hAnsi="宋体" w:eastAsia="宋体" w:cs="宋体"/>
                <w:color w:val="000000"/>
                <w:sz w:val="21"/>
              </w:rPr>
              <w:t>名称</w:t>
            </w:r>
          </w:p>
        </w:tc>
        <w:tc>
          <w:tcPr>
            <w:tcW w:w="4703" w:type="dxa"/>
            <w:vAlign w:val="center"/>
          </w:tcPr>
          <w:p>
            <w:pPr>
              <w:pStyle w:val="44"/>
              <w:rPr>
                <w:rFonts w:hint="eastAsia" w:ascii="宋体" w:hAnsi="宋体" w:eastAsia="宋体" w:cs="宋体"/>
                <w:color w:val="000000"/>
                <w:sz w:val="21"/>
              </w:rPr>
            </w:pPr>
            <w:r>
              <w:rPr>
                <w:rFonts w:hint="eastAsia" w:ascii="宋体" w:hAnsi="宋体" w:eastAsia="宋体" w:cs="宋体"/>
                <w:color w:val="000000"/>
                <w:sz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810"/>
              <w:jc w:val="center"/>
              <w:rPr>
                <w:rFonts w:hint="eastAsia" w:ascii="宋体" w:hAnsi="宋体" w:eastAsia="宋体" w:cs="宋体"/>
                <w:bCs w:val="0"/>
                <w:color w:val="000000"/>
                <w:sz w:val="21"/>
                <w:szCs w:val="24"/>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rPr>
            </w:pPr>
            <w:r>
              <w:rPr>
                <w:rFonts w:hint="eastAsia" w:ascii="宋体" w:hAnsi="宋体" w:eastAsia="宋体" w:cs="宋体"/>
                <w:color w:val="000000"/>
                <w:sz w:val="21"/>
              </w:rPr>
              <w:t>磋商</w:t>
            </w:r>
            <w:r>
              <w:rPr>
                <w:rFonts w:ascii="宋体" w:hAnsi="宋体" w:eastAsia="宋体" w:cs="宋体"/>
                <w:color w:val="000000"/>
                <w:sz w:val="21"/>
              </w:rPr>
              <w:t>函签字盖章</w:t>
            </w:r>
          </w:p>
        </w:tc>
        <w:tc>
          <w:tcPr>
            <w:tcW w:w="4703" w:type="dxa"/>
            <w:vAlign w:val="center"/>
          </w:tcPr>
          <w:p>
            <w:pPr>
              <w:pStyle w:val="44"/>
              <w:rPr>
                <w:rFonts w:hint="eastAsia" w:ascii="宋体" w:hAnsi="宋体" w:eastAsia="宋体" w:cs="宋体"/>
                <w:color w:val="000000"/>
                <w:sz w:val="21"/>
              </w:rPr>
            </w:pPr>
            <w:r>
              <w:rPr>
                <w:rFonts w:hint="eastAsia" w:ascii="宋体" w:hAnsi="宋体" w:eastAsia="宋体" w:cs="宋体"/>
                <w:color w:val="000000"/>
                <w:sz w:val="21"/>
              </w:rPr>
              <w:t>法定代表人</w:t>
            </w:r>
            <w:r>
              <w:rPr>
                <w:rFonts w:hint="eastAsia" w:ascii="宋体" w:hAnsi="宋体" w:eastAsia="宋体" w:cs="宋体"/>
                <w:color w:val="000000"/>
                <w:sz w:val="21"/>
                <w:lang w:val="en-US" w:eastAsia="zh-CN"/>
              </w:rPr>
              <w:t>签字、或委托代理人签字</w:t>
            </w:r>
            <w:r>
              <w:rPr>
                <w:rFonts w:hint="eastAsia" w:ascii="宋体" w:hAnsi="宋体" w:eastAsia="宋体" w:cs="宋体"/>
                <w:color w:val="000000"/>
                <w:sz w:val="21"/>
              </w:rPr>
              <w:t>及单位公章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810"/>
              <w:jc w:val="center"/>
              <w:rPr>
                <w:rFonts w:hint="eastAsia" w:ascii="宋体" w:hAnsi="宋体" w:eastAsia="宋体" w:cs="宋体"/>
                <w:bCs w:val="0"/>
                <w:color w:val="000000"/>
                <w:sz w:val="21"/>
                <w:szCs w:val="24"/>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rPr>
            </w:pPr>
            <w:r>
              <w:rPr>
                <w:rFonts w:ascii="宋体" w:hAnsi="宋体" w:eastAsia="宋体" w:cs="宋体"/>
                <w:color w:val="000000"/>
                <w:sz w:val="21"/>
              </w:rPr>
              <w:t>报价唯一</w:t>
            </w:r>
          </w:p>
        </w:tc>
        <w:tc>
          <w:tcPr>
            <w:tcW w:w="4703" w:type="dxa"/>
            <w:vAlign w:val="center"/>
          </w:tcPr>
          <w:p>
            <w:pPr>
              <w:pStyle w:val="44"/>
              <w:rPr>
                <w:rFonts w:hint="eastAsia" w:ascii="宋体" w:hAnsi="宋体" w:eastAsia="宋体" w:cs="宋体"/>
                <w:color w:val="000000"/>
                <w:sz w:val="21"/>
              </w:rPr>
            </w:pPr>
            <w:r>
              <w:rPr>
                <w:rFonts w:hint="eastAsia" w:ascii="宋体" w:hAnsi="宋体" w:eastAsia="宋体" w:cs="宋体"/>
                <w:color w:val="000000"/>
                <w:sz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27"/>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2.1.3</w:t>
            </w:r>
          </w:p>
        </w:tc>
        <w:tc>
          <w:tcPr>
            <w:tcW w:w="1309" w:type="dxa"/>
            <w:vMerge w:val="restart"/>
            <w:vAlign w:val="center"/>
          </w:tcPr>
          <w:p>
            <w:pPr>
              <w:pStyle w:val="27"/>
              <w:ind w:left="0" w:leftChars="0" w:firstLine="0" w:firstLineChars="0"/>
              <w:jc w:val="both"/>
              <w:rPr>
                <w:rFonts w:ascii="宋体" w:hAnsi="宋体" w:eastAsia="宋体" w:cs="宋体"/>
                <w:bCs w:val="0"/>
                <w:color w:val="000000"/>
                <w:sz w:val="21"/>
                <w:szCs w:val="24"/>
                <w:lang w:val="en-US" w:eastAsia="zh-CN"/>
              </w:rPr>
            </w:pPr>
            <w:r>
              <w:rPr>
                <w:rFonts w:ascii="宋体" w:hAnsi="宋体" w:eastAsia="宋体" w:cs="宋体"/>
                <w:bCs w:val="0"/>
                <w:color w:val="000000"/>
                <w:sz w:val="21"/>
                <w:szCs w:val="24"/>
                <w:lang w:val="en-US" w:eastAsia="zh-CN"/>
              </w:rPr>
              <w:t>响应性评审标准</w:t>
            </w:r>
          </w:p>
        </w:tc>
        <w:tc>
          <w:tcPr>
            <w:tcW w:w="1899" w:type="dxa"/>
            <w:vAlign w:val="center"/>
          </w:tcPr>
          <w:p>
            <w:pPr>
              <w:pStyle w:val="44"/>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竞</w:t>
            </w:r>
            <w:r>
              <w:rPr>
                <w:rFonts w:ascii="宋体" w:hAnsi="宋体" w:eastAsia="宋体" w:cs="宋体"/>
                <w:color w:val="000000"/>
                <w:sz w:val="21"/>
              </w:rPr>
              <w:t>标内容</w:t>
            </w:r>
          </w:p>
        </w:tc>
        <w:tc>
          <w:tcPr>
            <w:tcW w:w="4703" w:type="dxa"/>
            <w:vAlign w:val="center"/>
          </w:tcPr>
          <w:p>
            <w:pPr>
              <w:pStyle w:val="44"/>
              <w:rPr>
                <w:rFonts w:hint="eastAsia" w:ascii="宋体" w:hAnsi="宋体" w:eastAsia="宋体" w:cs="宋体"/>
                <w:color w:val="000000"/>
                <w:sz w:val="21"/>
                <w:lang w:eastAsia="zh-CN"/>
              </w:rPr>
            </w:pPr>
            <w:r>
              <w:rPr>
                <w:rFonts w:hint="eastAsia" w:ascii="宋体" w:hAnsi="宋体" w:eastAsia="宋体" w:cs="宋体"/>
                <w:color w:val="000000"/>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rPr>
            </w:pPr>
            <w:r>
              <w:rPr>
                <w:rFonts w:ascii="宋体" w:hAnsi="宋体" w:eastAsia="宋体" w:cs="宋体"/>
                <w:color w:val="000000"/>
                <w:sz w:val="21"/>
              </w:rPr>
              <w:t>工期</w:t>
            </w:r>
          </w:p>
        </w:tc>
        <w:tc>
          <w:tcPr>
            <w:tcW w:w="4703" w:type="dxa"/>
            <w:vAlign w:val="center"/>
          </w:tcPr>
          <w:p>
            <w:pPr>
              <w:pStyle w:val="44"/>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40天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lang w:val="en-US" w:eastAsia="zh-CN"/>
              </w:rPr>
            </w:pPr>
            <w:r>
              <w:rPr>
                <w:rFonts w:ascii="宋体" w:hAnsi="宋体" w:eastAsia="宋体" w:cs="宋体"/>
                <w:color w:val="000000"/>
                <w:sz w:val="21"/>
              </w:rPr>
              <w:t>质量</w:t>
            </w:r>
            <w:r>
              <w:rPr>
                <w:rFonts w:hint="eastAsia" w:ascii="宋体" w:hAnsi="宋体" w:eastAsia="宋体" w:cs="宋体"/>
                <w:color w:val="000000"/>
                <w:sz w:val="21"/>
                <w:lang w:val="en-US" w:eastAsia="zh-CN"/>
              </w:rPr>
              <w:t>标准</w:t>
            </w:r>
          </w:p>
        </w:tc>
        <w:tc>
          <w:tcPr>
            <w:tcW w:w="4703" w:type="dxa"/>
            <w:vAlign w:val="center"/>
          </w:tcPr>
          <w:p>
            <w:pPr>
              <w:pStyle w:val="44"/>
              <w:rPr>
                <w:rFonts w:hint="eastAsia" w:ascii="宋体" w:hAnsi="宋体" w:eastAsia="宋体" w:cs="宋体"/>
                <w:color w:val="000000"/>
                <w:sz w:val="21"/>
              </w:rPr>
            </w:pPr>
            <w:r>
              <w:rPr>
                <w:rFonts w:hint="eastAsia" w:ascii="宋体" w:hAnsi="宋体" w:eastAsia="宋体" w:cs="宋体"/>
                <w:color w:val="000000"/>
                <w:sz w:val="21"/>
              </w:rPr>
              <w:t>符合</w:t>
            </w:r>
            <w:r>
              <w:rPr>
                <w:rFonts w:hint="eastAsia" w:ascii="宋体" w:hAnsi="宋体" w:eastAsia="宋体" w:cs="宋体"/>
                <w:color w:val="000000"/>
                <w:sz w:val="21"/>
                <w:lang w:val="en-US" w:eastAsia="zh-CN"/>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竞</w:t>
            </w:r>
            <w:r>
              <w:rPr>
                <w:rFonts w:ascii="宋体" w:hAnsi="宋体" w:eastAsia="宋体" w:cs="宋体"/>
                <w:color w:val="000000"/>
                <w:sz w:val="21"/>
              </w:rPr>
              <w:t>标有效期</w:t>
            </w:r>
          </w:p>
        </w:tc>
        <w:tc>
          <w:tcPr>
            <w:tcW w:w="4703" w:type="dxa"/>
            <w:vAlign w:val="center"/>
          </w:tcPr>
          <w:p>
            <w:pPr>
              <w:pStyle w:val="44"/>
              <w:rPr>
                <w:rFonts w:hint="eastAsia" w:ascii="宋体" w:hAnsi="宋体" w:eastAsia="宋体" w:cs="宋体"/>
                <w:color w:val="000000"/>
                <w:sz w:val="21"/>
              </w:rPr>
            </w:pPr>
            <w:r>
              <w:rPr>
                <w:rFonts w:hint="eastAsia" w:ascii="宋体" w:hAnsi="宋体" w:eastAsia="宋体" w:cs="宋体"/>
                <w:color w:val="000000"/>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rPr>
            </w:pPr>
            <w:r>
              <w:rPr>
                <w:rFonts w:ascii="宋体" w:hAnsi="宋体" w:eastAsia="宋体" w:cs="宋体"/>
                <w:color w:val="000000"/>
                <w:sz w:val="21"/>
              </w:rPr>
              <w:t>权利义务</w:t>
            </w:r>
          </w:p>
        </w:tc>
        <w:tc>
          <w:tcPr>
            <w:tcW w:w="4703" w:type="dxa"/>
            <w:vAlign w:val="center"/>
          </w:tcPr>
          <w:p>
            <w:pPr>
              <w:pStyle w:val="44"/>
              <w:rPr>
                <w:rFonts w:hint="eastAsia" w:ascii="宋体" w:hAnsi="宋体" w:eastAsia="宋体" w:cs="宋体"/>
                <w:color w:val="000000"/>
                <w:sz w:val="21"/>
              </w:rPr>
            </w:pPr>
            <w:r>
              <w:rPr>
                <w:rFonts w:hint="eastAsia" w:ascii="宋体" w:hAnsi="宋体" w:eastAsia="宋体" w:cs="宋体"/>
                <w:color w:val="000000"/>
                <w:sz w:val="21"/>
                <w:lang w:val="en-US" w:eastAsia="zh-CN"/>
              </w:rPr>
              <w:t>竞</w:t>
            </w:r>
            <w:r>
              <w:rPr>
                <w:rFonts w:ascii="宋体" w:hAnsi="宋体" w:eastAsia="宋体" w:cs="宋体"/>
                <w:color w:val="000000"/>
                <w:sz w:val="21"/>
              </w:rPr>
              <w:t>标函附录中的相关承诺符合或优于第</w:t>
            </w:r>
            <w:r>
              <w:rPr>
                <w:rFonts w:hint="eastAsia" w:ascii="宋体" w:hAnsi="宋体" w:eastAsia="宋体" w:cs="宋体"/>
                <w:color w:val="000000"/>
                <w:sz w:val="21"/>
                <w:lang w:eastAsia="zh-CN"/>
              </w:rPr>
              <w:t>七</w:t>
            </w:r>
            <w:r>
              <w:rPr>
                <w:rFonts w:ascii="宋体" w:hAnsi="宋体" w:eastAsia="宋体" w:cs="宋体"/>
                <w:color w:val="000000"/>
                <w:sz w:val="21"/>
              </w:rPr>
              <w:t>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磋商报价</w:t>
            </w:r>
          </w:p>
        </w:tc>
        <w:tc>
          <w:tcPr>
            <w:tcW w:w="4703" w:type="dxa"/>
            <w:vAlign w:val="center"/>
          </w:tcPr>
          <w:p>
            <w:pPr>
              <w:pStyle w:val="44"/>
              <w:rPr>
                <w:rFonts w:hint="eastAsia" w:ascii="宋体" w:hAnsi="宋体" w:eastAsia="宋体" w:cs="宋体"/>
                <w:color w:val="000000"/>
                <w:sz w:val="21"/>
              </w:rPr>
            </w:pPr>
            <w:r>
              <w:rPr>
                <w:rFonts w:ascii="宋体" w:hAnsi="宋体" w:eastAsia="宋体" w:cs="宋体"/>
                <w:color w:val="000000"/>
                <w:sz w:val="21"/>
              </w:rPr>
              <w:t>低于（含等于）</w:t>
            </w:r>
            <w:r>
              <w:rPr>
                <w:rFonts w:hint="eastAsia" w:ascii="宋体" w:hAnsi="宋体" w:eastAsia="宋体" w:cs="宋体"/>
                <w:color w:val="000000"/>
                <w:sz w:val="21"/>
                <w:lang w:val="en-US" w:eastAsia="zh-CN"/>
              </w:rPr>
              <w:t>采购</w:t>
            </w:r>
            <w:r>
              <w:rPr>
                <w:rFonts w:ascii="宋体" w:hAnsi="宋体" w:eastAsia="宋体" w:cs="宋体"/>
                <w:color w:val="000000"/>
                <w:sz w:val="21"/>
              </w:rPr>
              <w:t>人公布的</w:t>
            </w:r>
            <w:r>
              <w:rPr>
                <w:rFonts w:hint="eastAsia" w:ascii="宋体" w:hAnsi="宋体" w:eastAsia="宋体" w:cs="宋体"/>
                <w:color w:val="000000"/>
                <w:sz w:val="21"/>
                <w:lang w:val="en-US" w:eastAsia="zh-CN"/>
              </w:rPr>
              <w:t>最高上限</w:t>
            </w:r>
            <w:r>
              <w:rPr>
                <w:rFonts w:ascii="宋体" w:hAnsi="宋体" w:eastAsia="宋体" w:cs="宋体"/>
                <w:color w:val="000000"/>
                <w:sz w:val="21"/>
              </w:rPr>
              <w:t>价且无否决投标条件的相应情况。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rPr>
            </w:pPr>
            <w:r>
              <w:rPr>
                <w:rFonts w:ascii="宋体" w:hAnsi="宋体" w:eastAsia="宋体" w:cs="宋体"/>
                <w:color w:val="000000"/>
                <w:sz w:val="21"/>
              </w:rPr>
              <w:t>已标价工程量清单</w:t>
            </w:r>
          </w:p>
        </w:tc>
        <w:tc>
          <w:tcPr>
            <w:tcW w:w="4703" w:type="dxa"/>
            <w:vAlign w:val="center"/>
          </w:tcPr>
          <w:p>
            <w:pPr>
              <w:pStyle w:val="44"/>
              <w:rPr>
                <w:rFonts w:hint="eastAsia" w:ascii="宋体" w:hAnsi="宋体" w:eastAsia="宋体" w:cs="宋体"/>
                <w:color w:val="000000"/>
                <w:sz w:val="21"/>
              </w:rPr>
            </w:pPr>
            <w:r>
              <w:rPr>
                <w:rFonts w:ascii="宋体" w:hAnsi="宋体" w:eastAsia="宋体" w:cs="宋体"/>
                <w:color w:val="000000"/>
                <w:sz w:val="21"/>
              </w:rPr>
              <w:t>符合“工程量清单”给出的子目编码、子目名称、子目特征、计量单位和工程量且无否决投标条件的相应情况。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6" w:type="dxa"/>
            <w:gridSpan w:val="4"/>
            <w:vAlign w:val="top"/>
          </w:tcPr>
          <w:p>
            <w:pPr>
              <w:pStyle w:val="44"/>
              <w:rPr>
                <w:rFonts w:ascii="宋体" w:hAnsi="宋体" w:eastAsia="宋体" w:cs="宋体"/>
                <w:color w:val="000000"/>
                <w:spacing w:val="89"/>
                <w:sz w:val="21"/>
              </w:rPr>
            </w:pPr>
            <w:r>
              <w:rPr>
                <w:rFonts w:ascii="宋体" w:hAnsi="宋体" w:eastAsia="宋体" w:cs="宋体"/>
                <w:b/>
                <w:color w:val="000000"/>
                <w:sz w:val="21"/>
              </w:rPr>
              <w:t>合格标准：</w:t>
            </w:r>
            <w:r>
              <w:rPr>
                <w:rFonts w:hint="eastAsia" w:ascii="宋体" w:hAnsi="宋体" w:eastAsia="宋体" w:cs="宋体"/>
                <w:b/>
                <w:color w:val="000000"/>
                <w:sz w:val="21"/>
              </w:rPr>
              <w:t>以上</w:t>
            </w:r>
            <w:r>
              <w:rPr>
                <w:rFonts w:ascii="宋体" w:hAnsi="宋体" w:eastAsia="宋体" w:cs="宋体"/>
                <w:b/>
                <w:color w:val="000000"/>
                <w:sz w:val="21"/>
              </w:rPr>
              <w:t>缺少任何一项或有任何一项不合格者，其评审</w:t>
            </w:r>
            <w:r>
              <w:rPr>
                <w:rFonts w:hint="eastAsia" w:ascii="宋体" w:hAnsi="宋体" w:eastAsia="宋体" w:cs="宋体"/>
                <w:b/>
                <w:color w:val="000000"/>
                <w:sz w:val="21"/>
              </w:rPr>
              <w:t>结果</w:t>
            </w:r>
            <w:r>
              <w:rPr>
                <w:rFonts w:ascii="宋体" w:hAnsi="宋体" w:eastAsia="宋体" w:cs="宋体"/>
                <w:b/>
                <w:color w:val="000000"/>
                <w:sz w:val="21"/>
              </w:rPr>
              <w:t>视为不合格</w:t>
            </w:r>
            <w:r>
              <w:rPr>
                <w:rFonts w:hint="eastAsia" w:ascii="宋体" w:hAnsi="宋体" w:eastAsia="宋体" w:cs="宋体"/>
                <w:b/>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Align w:val="center"/>
          </w:tcPr>
          <w:p>
            <w:pPr>
              <w:pStyle w:val="44"/>
              <w:jc w:val="center"/>
              <w:rPr>
                <w:rFonts w:hint="eastAsia" w:ascii="宋体" w:hAnsi="宋体" w:eastAsia="宋体" w:cs="宋体"/>
                <w:color w:val="000000"/>
                <w:sz w:val="21"/>
              </w:rPr>
            </w:pPr>
            <w:r>
              <w:rPr>
                <w:rFonts w:ascii="宋体" w:hAnsi="宋体" w:eastAsia="宋体" w:cs="宋体"/>
                <w:color w:val="000000"/>
                <w:sz w:val="21"/>
              </w:rPr>
              <w:t>2.</w:t>
            </w:r>
            <w:r>
              <w:rPr>
                <w:rFonts w:hint="eastAsia" w:ascii="宋体" w:hAnsi="宋体" w:eastAsia="宋体" w:cs="宋体"/>
                <w:color w:val="000000"/>
                <w:sz w:val="21"/>
              </w:rPr>
              <w:t>2</w:t>
            </w:r>
          </w:p>
        </w:tc>
        <w:tc>
          <w:tcPr>
            <w:tcW w:w="1309" w:type="dxa"/>
            <w:vAlign w:val="center"/>
          </w:tcPr>
          <w:p>
            <w:pPr>
              <w:pStyle w:val="44"/>
              <w:jc w:val="center"/>
              <w:rPr>
                <w:rFonts w:ascii="宋体" w:hAnsi="宋体" w:eastAsia="宋体" w:cs="宋体"/>
                <w:color w:val="000000"/>
                <w:sz w:val="21"/>
              </w:rPr>
            </w:pPr>
            <w:r>
              <w:rPr>
                <w:rFonts w:ascii="宋体" w:hAnsi="宋体" w:eastAsia="宋体" w:cs="宋体"/>
                <w:color w:val="000000"/>
                <w:sz w:val="21"/>
              </w:rPr>
              <w:t>详细评审</w:t>
            </w:r>
          </w:p>
        </w:tc>
        <w:tc>
          <w:tcPr>
            <w:tcW w:w="6602" w:type="dxa"/>
            <w:gridSpan w:val="2"/>
            <w:vAlign w:val="center"/>
          </w:tcPr>
          <w:p>
            <w:pPr>
              <w:pStyle w:val="44"/>
              <w:rPr>
                <w:rFonts w:ascii="宋体" w:hAnsi="宋体" w:eastAsia="宋体" w:cs="宋体"/>
                <w:b/>
                <w:color w:val="000000"/>
                <w:sz w:val="21"/>
              </w:rPr>
            </w:pPr>
            <w:r>
              <w:rPr>
                <w:rFonts w:ascii="宋体" w:hAnsi="宋体" w:eastAsia="宋体" w:cs="宋体"/>
                <w:b/>
                <w:color w:val="000000"/>
                <w:sz w:val="21"/>
              </w:rPr>
              <w:t>通过资格审查的合格</w:t>
            </w:r>
            <w:r>
              <w:rPr>
                <w:rFonts w:hint="eastAsia" w:ascii="宋体" w:hAnsi="宋体" w:eastAsia="宋体" w:cs="宋体"/>
                <w:b/>
                <w:color w:val="000000"/>
                <w:sz w:val="21"/>
              </w:rPr>
              <w:t>供应商</w:t>
            </w:r>
            <w:r>
              <w:rPr>
                <w:rFonts w:ascii="宋体" w:hAnsi="宋体" w:eastAsia="宋体" w:cs="宋体"/>
                <w:b/>
                <w:color w:val="000000"/>
                <w:sz w:val="21"/>
              </w:rPr>
              <w:t>，只有通过了形式评审和响应性评审，才能进入详细评审程序。</w:t>
            </w:r>
          </w:p>
          <w:p>
            <w:pPr>
              <w:tabs>
                <w:tab w:val="left" w:pos="1080"/>
              </w:tabs>
              <w:spacing w:line="320" w:lineRule="exact"/>
              <w:rPr>
                <w:rFonts w:hint="eastAsia"/>
                <w:color w:val="000000"/>
              </w:rPr>
            </w:pPr>
            <w:r>
              <w:rPr>
                <w:rFonts w:hint="eastAsia" w:ascii="宋体" w:hAnsi="宋体"/>
                <w:color w:val="000000"/>
                <w:szCs w:val="21"/>
              </w:rPr>
              <w:t>分值构成（总分100分）其中：</w:t>
            </w:r>
          </w:p>
          <w:p>
            <w:pPr>
              <w:widowControl/>
              <w:jc w:val="left"/>
              <w:rPr>
                <w:color w:val="000000"/>
              </w:rPr>
            </w:pPr>
            <w:r>
              <w:rPr>
                <w:rFonts w:hint="eastAsia" w:ascii="宋体" w:hAnsi="宋体" w:cs="宋体"/>
                <w:color w:val="000000"/>
                <w:kern w:val="0"/>
                <w:szCs w:val="21"/>
                <w:lang w:bidi="ar"/>
              </w:rPr>
              <w:t xml:space="preserve">（1）技术分：40分 </w:t>
            </w:r>
          </w:p>
          <w:p>
            <w:pPr>
              <w:widowControl/>
              <w:jc w:val="left"/>
              <w:rPr>
                <w:rFonts w:ascii="宋体" w:hAnsi="宋体" w:cs="宋体"/>
                <w:b/>
                <w:color w:val="000000"/>
              </w:rPr>
            </w:pPr>
            <w:r>
              <w:rPr>
                <w:rFonts w:hint="eastAsia" w:ascii="宋体" w:hAnsi="宋体" w:cs="宋体"/>
                <w:color w:val="000000"/>
                <w:kern w:val="0"/>
                <w:szCs w:val="21"/>
                <w:lang w:bidi="ar"/>
              </w:rPr>
              <w:t>（2）商务分：60分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44"/>
              <w:jc w:val="center"/>
              <w:rPr>
                <w:rFonts w:ascii="宋体" w:hAnsi="宋体" w:eastAsia="宋体" w:cs="宋体"/>
                <w:color w:val="000000"/>
                <w:sz w:val="21"/>
              </w:rPr>
            </w:pPr>
            <w:r>
              <w:rPr>
                <w:rFonts w:hint="eastAsia" w:ascii="宋体" w:hAnsi="宋体" w:eastAsia="宋体" w:cs="宋体"/>
                <w:color w:val="000000"/>
                <w:sz w:val="21"/>
              </w:rPr>
              <w:t>2.2.1</w:t>
            </w:r>
          </w:p>
        </w:tc>
        <w:tc>
          <w:tcPr>
            <w:tcW w:w="1309" w:type="dxa"/>
            <w:vMerge w:val="restart"/>
            <w:vAlign w:val="center"/>
          </w:tcPr>
          <w:p>
            <w:pPr>
              <w:pStyle w:val="44"/>
              <w:jc w:val="center"/>
              <w:rPr>
                <w:rFonts w:ascii="宋体" w:hAnsi="宋体" w:eastAsia="宋体" w:cs="宋体"/>
                <w:color w:val="000000"/>
                <w:sz w:val="21"/>
              </w:rPr>
            </w:pPr>
            <w:r>
              <w:rPr>
                <w:rFonts w:ascii="宋体" w:hAnsi="宋体" w:eastAsia="宋体" w:cs="宋体"/>
                <w:color w:val="000000"/>
                <w:sz w:val="21"/>
              </w:rPr>
              <w:t>技术分</w:t>
            </w:r>
            <w:r>
              <w:rPr>
                <w:rFonts w:hint="eastAsia" w:ascii="宋体" w:hAnsi="宋体"/>
                <w:color w:val="000000"/>
                <w:szCs w:val="21"/>
              </w:rPr>
              <w:t>（满分40分）</w:t>
            </w:r>
          </w:p>
        </w:tc>
        <w:tc>
          <w:tcPr>
            <w:tcW w:w="1899" w:type="dxa"/>
            <w:vAlign w:val="center"/>
          </w:tcPr>
          <w:p>
            <w:pPr>
              <w:tabs>
                <w:tab w:val="left" w:pos="1080"/>
              </w:tabs>
              <w:spacing w:line="400" w:lineRule="exact"/>
              <w:rPr>
                <w:rFonts w:ascii="宋体" w:hAnsi="宋体" w:cs="宋体"/>
                <w:color w:val="auto"/>
              </w:rPr>
            </w:pPr>
            <w:r>
              <w:rPr>
                <w:rFonts w:hint="eastAsia" w:ascii="宋体" w:hAnsi="宋体"/>
                <w:color w:val="auto"/>
                <w:szCs w:val="21"/>
              </w:rPr>
              <w:t>1、总体概述（施工程序总体设想及施工段划分）（满分10分）</w:t>
            </w:r>
          </w:p>
        </w:tc>
        <w:tc>
          <w:tcPr>
            <w:tcW w:w="4703" w:type="dxa"/>
            <w:vAlign w:val="top"/>
          </w:tcPr>
          <w:p>
            <w:pPr>
              <w:tabs>
                <w:tab w:val="left" w:pos="1080"/>
              </w:tabs>
              <w:adjustRightInd w:val="0"/>
              <w:spacing w:line="360" w:lineRule="auto"/>
              <w:textAlignment w:val="baseline"/>
              <w:rPr>
                <w:rFonts w:ascii="宋体" w:hAnsi="宋体" w:cs="宋体"/>
                <w:color w:val="auto"/>
                <w:szCs w:val="21"/>
              </w:rPr>
            </w:pPr>
            <w:r>
              <w:rPr>
                <w:rFonts w:hint="eastAsia" w:ascii="宋体" w:hAnsi="宋体" w:cs="宋体"/>
                <w:color w:val="auto"/>
                <w:szCs w:val="21"/>
              </w:rPr>
              <w:t>差(3.0分)：对项目认识不足，表述不清晰，措施不具体；施工段划分不合理。</w:t>
            </w:r>
          </w:p>
          <w:p>
            <w:pPr>
              <w:adjustRightInd w:val="0"/>
              <w:spacing w:line="360" w:lineRule="auto"/>
              <w:textAlignment w:val="baseline"/>
              <w:rPr>
                <w:rFonts w:ascii="宋体" w:hAnsi="宋体" w:cs="宋体"/>
                <w:color w:val="auto"/>
                <w:szCs w:val="21"/>
              </w:rPr>
            </w:pPr>
            <w:r>
              <w:rPr>
                <w:rFonts w:hint="eastAsia" w:ascii="宋体" w:hAnsi="宋体" w:cs="宋体"/>
                <w:color w:val="auto"/>
                <w:szCs w:val="21"/>
              </w:rPr>
              <w:t>良(6.0分)：对项目总体有认识，措施一般但部分不具体：施工段划分较合理，符合规范要求。</w:t>
            </w:r>
          </w:p>
          <w:p>
            <w:pPr>
              <w:adjustRightInd w:val="0"/>
              <w:spacing w:line="360" w:lineRule="auto"/>
              <w:textAlignment w:val="baseline"/>
              <w:rPr>
                <w:rFonts w:ascii="宋体" w:hAnsi="宋体" w:cs="宋体"/>
                <w:color w:val="auto"/>
                <w:spacing w:val="89"/>
              </w:rPr>
            </w:pPr>
            <w:r>
              <w:rPr>
                <w:rFonts w:hint="eastAsia" w:ascii="宋体" w:hAnsi="宋体" w:cs="宋体"/>
                <w:color w:val="auto"/>
                <w:szCs w:val="21"/>
              </w:rPr>
              <w:t>优(10.0分)：对项目总体有深刻认识，表述清晰、完整、严谨、合理，措施先进、具体、有效、成熟，采用了已论证的新技术、新工艺、新材料、新设备；施工段划分呼应总体表述，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tabs>
                <w:tab w:val="left" w:pos="1080"/>
              </w:tabs>
              <w:spacing w:line="360" w:lineRule="exact"/>
              <w:jc w:val="center"/>
              <w:rPr>
                <w:rFonts w:ascii="宋体" w:hAnsi="宋体" w:cs="宋体"/>
                <w:color w:val="auto"/>
              </w:rPr>
            </w:pPr>
            <w:r>
              <w:rPr>
                <w:rFonts w:hint="eastAsia" w:ascii="宋体" w:hAnsi="宋体"/>
                <w:color w:val="auto"/>
                <w:szCs w:val="21"/>
              </w:rPr>
              <w:t>2、主要工程项目的施工方案、方法及技术措施（10分）</w:t>
            </w:r>
          </w:p>
        </w:tc>
        <w:tc>
          <w:tcPr>
            <w:tcW w:w="4703" w:type="dxa"/>
            <w:vAlign w:val="top"/>
          </w:tcPr>
          <w:p>
            <w:pPr>
              <w:tabs>
                <w:tab w:val="left" w:pos="1080"/>
              </w:tabs>
              <w:spacing w:line="400" w:lineRule="exact"/>
              <w:rPr>
                <w:rFonts w:ascii="宋体" w:hAnsi="宋体"/>
                <w:color w:val="auto"/>
                <w:szCs w:val="21"/>
              </w:rPr>
            </w:pPr>
            <w:r>
              <w:rPr>
                <w:rFonts w:hint="eastAsia" w:ascii="宋体" w:hAnsi="宋体" w:cs="宋体"/>
                <w:color w:val="auto"/>
                <w:szCs w:val="21"/>
              </w:rPr>
              <w:t>差(3.0分)</w:t>
            </w:r>
            <w:r>
              <w:rPr>
                <w:rFonts w:hint="eastAsia" w:ascii="宋体" w:hAnsi="宋体"/>
                <w:color w:val="auto"/>
                <w:szCs w:val="21"/>
              </w:rPr>
              <w:t>：对项目关键技术表述不清，对重点、难点建议一般，解决方案不可行。</w:t>
            </w:r>
          </w:p>
          <w:p>
            <w:pPr>
              <w:tabs>
                <w:tab w:val="left" w:pos="1080"/>
              </w:tabs>
              <w:spacing w:line="400" w:lineRule="exact"/>
              <w:rPr>
                <w:rFonts w:ascii="宋体" w:hAnsi="宋体"/>
                <w:color w:val="auto"/>
                <w:szCs w:val="21"/>
              </w:rPr>
            </w:pPr>
            <w:r>
              <w:rPr>
                <w:rFonts w:hint="eastAsia" w:ascii="宋体" w:hAnsi="宋体" w:cs="宋体"/>
                <w:color w:val="auto"/>
                <w:szCs w:val="21"/>
              </w:rPr>
              <w:t>良(6.0分)：</w:t>
            </w:r>
            <w:r>
              <w:rPr>
                <w:rFonts w:hint="eastAsia" w:ascii="宋体" w:hAnsi="宋体"/>
                <w:color w:val="auto"/>
                <w:szCs w:val="21"/>
              </w:rPr>
              <w:t>对项目关键技术、工艺有深入的表述，对重点、难点有合理的建议，解决方案经济、安全、基本可行。</w:t>
            </w:r>
          </w:p>
          <w:p>
            <w:pPr>
              <w:tabs>
                <w:tab w:val="left" w:pos="1080"/>
              </w:tabs>
              <w:spacing w:line="400" w:lineRule="exact"/>
              <w:rPr>
                <w:rFonts w:ascii="宋体" w:hAnsi="宋体" w:cs="宋体"/>
                <w:color w:val="auto"/>
                <w:spacing w:val="89"/>
              </w:rPr>
            </w:pPr>
            <w:r>
              <w:rPr>
                <w:rFonts w:hint="eastAsia" w:ascii="宋体" w:hAnsi="宋体" w:cs="宋体"/>
                <w:color w:val="auto"/>
                <w:szCs w:val="21"/>
              </w:rPr>
              <w:t>优(10.0分)：</w:t>
            </w:r>
            <w:r>
              <w:rPr>
                <w:rFonts w:hint="eastAsia" w:ascii="宋体" w:hAnsi="宋体"/>
                <w:color w:val="auto"/>
                <w:szCs w:val="21"/>
              </w:rPr>
              <w:t>对项目关键技术、工艺有深入的表述，对重点、难点有先进合理的施工措施并有可行的安全措施，解决方案完整、经济、安全、切实可行，措施得力。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tabs>
                <w:tab w:val="left" w:pos="1080"/>
              </w:tabs>
              <w:spacing w:line="360" w:lineRule="exact"/>
              <w:jc w:val="center"/>
              <w:rPr>
                <w:rFonts w:ascii="宋体" w:hAnsi="宋体" w:cs="宋体"/>
                <w:color w:val="auto"/>
              </w:rPr>
            </w:pPr>
            <w:r>
              <w:rPr>
                <w:rFonts w:hint="eastAsia" w:ascii="宋体" w:hAnsi="宋体" w:cs="Arial"/>
                <w:color w:val="auto"/>
                <w:kern w:val="0"/>
                <w:szCs w:val="21"/>
              </w:rPr>
              <w:t>3、施工进度计划和各阶段进度的保证措施及违约责任承诺（满分5分）</w:t>
            </w:r>
          </w:p>
        </w:tc>
        <w:tc>
          <w:tcPr>
            <w:tcW w:w="4703" w:type="dxa"/>
            <w:vAlign w:val="top"/>
          </w:tcPr>
          <w:p>
            <w:pPr>
              <w:tabs>
                <w:tab w:val="left" w:pos="1080"/>
              </w:tabs>
              <w:spacing w:line="400" w:lineRule="exact"/>
              <w:rPr>
                <w:rFonts w:ascii="宋体" w:hAnsi="宋体"/>
                <w:color w:val="auto"/>
                <w:szCs w:val="21"/>
              </w:rPr>
            </w:pPr>
            <w:r>
              <w:rPr>
                <w:rFonts w:hint="eastAsia" w:ascii="宋体" w:hAnsi="宋体" w:cs="宋体"/>
                <w:color w:val="auto"/>
                <w:szCs w:val="21"/>
              </w:rPr>
              <w:t>差(1.5分)：</w:t>
            </w:r>
            <w:r>
              <w:rPr>
                <w:rFonts w:hint="eastAsia" w:ascii="宋体" w:hAnsi="宋体"/>
                <w:color w:val="auto"/>
                <w:szCs w:val="21"/>
              </w:rPr>
              <w:t>关键线路不准确，计划编制不合理，关键节点的控制不可行，没有违约责任承诺。</w:t>
            </w:r>
          </w:p>
          <w:p>
            <w:pPr>
              <w:tabs>
                <w:tab w:val="left" w:pos="1080"/>
              </w:tabs>
              <w:spacing w:line="400" w:lineRule="exact"/>
              <w:rPr>
                <w:rFonts w:ascii="宋体" w:hAnsi="宋体"/>
                <w:color w:val="auto"/>
                <w:szCs w:val="21"/>
              </w:rPr>
            </w:pPr>
            <w:r>
              <w:rPr>
                <w:rFonts w:hint="eastAsia" w:ascii="宋体" w:hAnsi="宋体" w:cs="宋体"/>
                <w:color w:val="auto"/>
                <w:szCs w:val="21"/>
              </w:rPr>
              <w:t>良(3.0分)：</w:t>
            </w:r>
            <w:r>
              <w:rPr>
                <w:rFonts w:hint="eastAsia" w:ascii="宋体" w:hAnsi="宋体"/>
                <w:color w:val="auto"/>
                <w:szCs w:val="21"/>
              </w:rPr>
              <w:t>关键线路基本准确，计划编制基本合理，关键节点的控制措施基本可行，进度违约责任承诺具体。</w:t>
            </w:r>
          </w:p>
          <w:p>
            <w:pPr>
              <w:tabs>
                <w:tab w:val="left" w:pos="1080"/>
              </w:tabs>
              <w:spacing w:line="400" w:lineRule="exact"/>
              <w:rPr>
                <w:rFonts w:ascii="宋体" w:hAnsi="宋体" w:cs="宋体"/>
                <w:color w:val="auto"/>
                <w:spacing w:val="89"/>
              </w:rPr>
            </w:pPr>
            <w:r>
              <w:rPr>
                <w:rFonts w:hint="eastAsia" w:ascii="宋体" w:hAnsi="宋体" w:cs="宋体"/>
                <w:color w:val="auto"/>
                <w:szCs w:val="21"/>
              </w:rPr>
              <w:t>优(5.0分)：</w:t>
            </w:r>
            <w:r>
              <w:rPr>
                <w:rFonts w:hint="eastAsia" w:ascii="宋体" w:hAnsi="宋体"/>
                <w:color w:val="auto"/>
                <w:szCs w:val="21"/>
              </w:rPr>
              <w:t>关键线路清晰、准确、完整，计划编制合理、可行，关键节点的控制措施有力、合理、可行，进度违约责任承诺具体。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tabs>
                <w:tab w:val="left" w:pos="1080"/>
              </w:tabs>
              <w:spacing w:line="360" w:lineRule="exact"/>
              <w:jc w:val="center"/>
              <w:rPr>
                <w:rFonts w:ascii="宋体" w:hAnsi="宋体" w:cs="宋体"/>
                <w:color w:val="auto"/>
              </w:rPr>
            </w:pPr>
            <w:r>
              <w:rPr>
                <w:rFonts w:hint="eastAsia" w:ascii="宋体" w:hAnsi="宋体"/>
                <w:color w:val="auto"/>
                <w:szCs w:val="21"/>
              </w:rPr>
              <w:t>4、安全文明施工措施（满分5分）</w:t>
            </w:r>
          </w:p>
        </w:tc>
        <w:tc>
          <w:tcPr>
            <w:tcW w:w="4703" w:type="dxa"/>
            <w:vAlign w:val="top"/>
          </w:tcPr>
          <w:p>
            <w:pPr>
              <w:tabs>
                <w:tab w:val="left" w:pos="1080"/>
              </w:tabs>
              <w:spacing w:line="400" w:lineRule="exact"/>
              <w:ind w:firstLine="105" w:firstLineChars="50"/>
              <w:rPr>
                <w:rFonts w:ascii="宋体" w:hAnsi="宋体"/>
                <w:color w:val="auto"/>
                <w:szCs w:val="21"/>
              </w:rPr>
            </w:pPr>
            <w:r>
              <w:rPr>
                <w:rFonts w:hint="eastAsia" w:ascii="宋体" w:hAnsi="宋体" w:cs="宋体"/>
                <w:color w:val="auto"/>
                <w:szCs w:val="21"/>
              </w:rPr>
              <w:t>差(1.5分)：</w:t>
            </w:r>
            <w:r>
              <w:rPr>
                <w:rFonts w:hint="eastAsia" w:ascii="宋体" w:hAnsi="宋体"/>
                <w:color w:val="auto"/>
                <w:szCs w:val="21"/>
              </w:rPr>
              <w:t>安全文明措施不得力，采用规范不正确。</w:t>
            </w:r>
          </w:p>
          <w:p>
            <w:pPr>
              <w:tabs>
                <w:tab w:val="left" w:pos="1080"/>
              </w:tabs>
              <w:spacing w:line="400" w:lineRule="exact"/>
              <w:ind w:firstLine="105" w:firstLineChars="50"/>
              <w:rPr>
                <w:rFonts w:ascii="宋体" w:hAnsi="宋体"/>
                <w:color w:val="auto"/>
                <w:szCs w:val="21"/>
              </w:rPr>
            </w:pPr>
            <w:r>
              <w:rPr>
                <w:rFonts w:hint="eastAsia" w:ascii="宋体" w:hAnsi="宋体" w:cs="宋体"/>
                <w:color w:val="auto"/>
                <w:szCs w:val="21"/>
              </w:rPr>
              <w:t>良(3.0分)：</w:t>
            </w:r>
            <w:r>
              <w:rPr>
                <w:rFonts w:hint="eastAsia" w:ascii="宋体" w:hAnsi="宋体"/>
                <w:color w:val="auto"/>
                <w:szCs w:val="21"/>
              </w:rPr>
              <w:t>针对项目实际情况，有合理的措施且具体、完整，采用规范正确。</w:t>
            </w:r>
          </w:p>
          <w:p>
            <w:pPr>
              <w:tabs>
                <w:tab w:val="left" w:pos="1080"/>
              </w:tabs>
              <w:spacing w:line="400" w:lineRule="exact"/>
              <w:ind w:firstLine="105" w:firstLineChars="50"/>
              <w:rPr>
                <w:rFonts w:ascii="宋体" w:hAnsi="宋体" w:cs="宋体"/>
                <w:color w:val="auto"/>
                <w:spacing w:val="89"/>
              </w:rPr>
            </w:pPr>
            <w:r>
              <w:rPr>
                <w:rFonts w:hint="eastAsia" w:ascii="宋体" w:hAnsi="宋体" w:cs="宋体"/>
                <w:color w:val="auto"/>
                <w:szCs w:val="21"/>
              </w:rPr>
              <w:t>优(5.0分)</w:t>
            </w:r>
            <w:r>
              <w:rPr>
                <w:rFonts w:hint="eastAsia" w:ascii="宋体" w:hAnsi="宋体"/>
                <w:color w:val="auto"/>
                <w:szCs w:val="21"/>
              </w:rPr>
              <w:t>：针对项目实际情况，有先进、具体、完整、可行的实施措施，采用规范正确、清晰。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autoSpaceDE w:val="0"/>
              <w:autoSpaceDN w:val="0"/>
              <w:adjustRightInd w:val="0"/>
              <w:spacing w:line="280" w:lineRule="exact"/>
              <w:ind w:right="-20"/>
              <w:jc w:val="center"/>
              <w:rPr>
                <w:rFonts w:ascii="宋体" w:hAnsi="宋体" w:cs="宋体"/>
                <w:color w:val="auto"/>
              </w:rPr>
            </w:pPr>
            <w:r>
              <w:rPr>
                <w:rFonts w:hint="eastAsia" w:ascii="宋体" w:hAnsi="宋体"/>
                <w:color w:val="auto"/>
                <w:szCs w:val="21"/>
              </w:rPr>
              <w:t>5、质量保证措施（满分5分）</w:t>
            </w:r>
          </w:p>
        </w:tc>
        <w:tc>
          <w:tcPr>
            <w:tcW w:w="4703" w:type="dxa"/>
            <w:vAlign w:val="top"/>
          </w:tcPr>
          <w:p>
            <w:pPr>
              <w:tabs>
                <w:tab w:val="left" w:pos="1080"/>
              </w:tabs>
              <w:spacing w:line="400" w:lineRule="exact"/>
              <w:rPr>
                <w:rFonts w:ascii="宋体" w:hAnsi="宋体"/>
                <w:color w:val="auto"/>
                <w:szCs w:val="21"/>
              </w:rPr>
            </w:pPr>
            <w:r>
              <w:rPr>
                <w:rFonts w:hint="eastAsia" w:ascii="宋体" w:hAnsi="宋体" w:cs="宋体"/>
                <w:color w:val="auto"/>
                <w:szCs w:val="21"/>
              </w:rPr>
              <w:t>差(1.0分)：</w:t>
            </w:r>
            <w:r>
              <w:rPr>
                <w:rFonts w:hint="eastAsia" w:ascii="宋体" w:hAnsi="宋体"/>
                <w:color w:val="auto"/>
                <w:szCs w:val="21"/>
              </w:rPr>
              <w:t>具体措施可行，满足招标文件的质量要求。</w:t>
            </w:r>
          </w:p>
          <w:p>
            <w:pPr>
              <w:tabs>
                <w:tab w:val="left" w:pos="1080"/>
              </w:tabs>
              <w:spacing w:line="400" w:lineRule="exact"/>
              <w:rPr>
                <w:rFonts w:ascii="宋体" w:hAnsi="宋体"/>
                <w:color w:val="auto"/>
                <w:szCs w:val="21"/>
              </w:rPr>
            </w:pPr>
            <w:r>
              <w:rPr>
                <w:rFonts w:hint="eastAsia" w:ascii="宋体" w:hAnsi="宋体"/>
                <w:color w:val="auto"/>
                <w:szCs w:val="21"/>
              </w:rPr>
              <w:t>良(3.0分)：针对项目实际提出先进、可行、具体的保证措施，满足招标文件的质量要求。</w:t>
            </w:r>
          </w:p>
          <w:p>
            <w:pPr>
              <w:tabs>
                <w:tab w:val="left" w:pos="1080"/>
              </w:tabs>
              <w:spacing w:line="400" w:lineRule="exact"/>
              <w:rPr>
                <w:rFonts w:ascii="宋体" w:hAnsi="宋体" w:cs="宋体"/>
                <w:color w:val="auto"/>
                <w:spacing w:val="89"/>
              </w:rPr>
            </w:pPr>
            <w:r>
              <w:rPr>
                <w:rFonts w:hint="eastAsia" w:ascii="宋体" w:hAnsi="宋体"/>
                <w:color w:val="auto"/>
                <w:szCs w:val="21"/>
              </w:rPr>
              <w:t>优(5.0分)：应用新技术、新工艺、新材料、新设备，针对项目实际提出先进、可行、具体的保证措施，满足招标文件的质量要求及施工验收规范要求。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tabs>
                <w:tab w:val="left" w:pos="1080"/>
              </w:tabs>
              <w:spacing w:line="360" w:lineRule="exact"/>
              <w:jc w:val="center"/>
              <w:rPr>
                <w:rFonts w:ascii="宋体" w:hAnsi="宋体" w:cs="宋体"/>
                <w:color w:val="auto"/>
              </w:rPr>
            </w:pPr>
            <w:r>
              <w:rPr>
                <w:rFonts w:hint="eastAsia" w:ascii="宋体" w:hAnsi="宋体" w:cs="Arial"/>
                <w:color w:val="auto"/>
                <w:kern w:val="0"/>
                <w:szCs w:val="21"/>
              </w:rPr>
              <w:t>6、劳动力和材料投入计划及其保证措施（满分5分）</w:t>
            </w:r>
          </w:p>
        </w:tc>
        <w:tc>
          <w:tcPr>
            <w:tcW w:w="4703" w:type="dxa"/>
            <w:vAlign w:val="top"/>
          </w:tcPr>
          <w:p>
            <w:pPr>
              <w:tabs>
                <w:tab w:val="left" w:pos="1080"/>
              </w:tabs>
              <w:spacing w:line="400" w:lineRule="exact"/>
              <w:ind w:firstLine="105" w:firstLineChars="50"/>
              <w:rPr>
                <w:rFonts w:ascii="宋体" w:hAnsi="宋体"/>
                <w:color w:val="auto"/>
                <w:szCs w:val="21"/>
              </w:rPr>
            </w:pPr>
            <w:r>
              <w:rPr>
                <w:rFonts w:hint="eastAsia" w:ascii="宋体" w:hAnsi="宋体"/>
                <w:color w:val="auto"/>
                <w:szCs w:val="21"/>
              </w:rPr>
              <w:t>差(1.0分)：投入计划与进度计划呼应，基本满足施工要求，调配投入计划基本合理。</w:t>
            </w:r>
          </w:p>
          <w:p>
            <w:pPr>
              <w:tabs>
                <w:tab w:val="left" w:pos="1080"/>
              </w:tabs>
              <w:spacing w:line="400" w:lineRule="exact"/>
              <w:ind w:firstLine="105" w:firstLineChars="50"/>
              <w:rPr>
                <w:rFonts w:ascii="宋体" w:hAnsi="宋体"/>
                <w:color w:val="auto"/>
                <w:szCs w:val="21"/>
              </w:rPr>
            </w:pPr>
            <w:r>
              <w:rPr>
                <w:rFonts w:hint="eastAsia" w:ascii="宋体" w:hAnsi="宋体"/>
                <w:color w:val="auto"/>
                <w:szCs w:val="21"/>
              </w:rPr>
              <w:t>良(3.0分)：投入计划与进度计划呼应，满足施工要求，调配投入计划合理、准确。</w:t>
            </w:r>
          </w:p>
          <w:p>
            <w:pPr>
              <w:tabs>
                <w:tab w:val="left" w:pos="1080"/>
              </w:tabs>
              <w:spacing w:line="400" w:lineRule="exact"/>
              <w:ind w:firstLine="105" w:firstLineChars="50"/>
              <w:rPr>
                <w:rFonts w:ascii="宋体" w:hAnsi="宋体" w:cs="宋体"/>
                <w:color w:val="auto"/>
                <w:spacing w:val="89"/>
              </w:rPr>
            </w:pPr>
            <w:r>
              <w:rPr>
                <w:rFonts w:hint="eastAsia" w:ascii="宋体" w:hAnsi="宋体"/>
                <w:color w:val="auto"/>
                <w:szCs w:val="21"/>
              </w:rPr>
              <w:t>优(5.0分)：投入计划与进度计划呼应，较好满足施工要求，调配投入计划合理、准确。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75" w:type="dxa"/>
            <w:vMerge w:val="restart"/>
            <w:vAlign w:val="center"/>
          </w:tcPr>
          <w:p>
            <w:pPr>
              <w:tabs>
                <w:tab w:val="left" w:pos="1080"/>
              </w:tabs>
              <w:spacing w:line="360" w:lineRule="exact"/>
              <w:jc w:val="center"/>
              <w:rPr>
                <w:rFonts w:hint="eastAsia" w:ascii="宋体" w:hAnsi="宋体"/>
                <w:color w:val="000000"/>
                <w:szCs w:val="21"/>
              </w:rPr>
            </w:pPr>
            <w:r>
              <w:rPr>
                <w:rFonts w:hint="eastAsia" w:ascii="宋体" w:hAnsi="宋体"/>
                <w:color w:val="000000"/>
                <w:szCs w:val="21"/>
              </w:rPr>
              <w:t>2.2.2</w:t>
            </w:r>
          </w:p>
        </w:tc>
        <w:tc>
          <w:tcPr>
            <w:tcW w:w="1309" w:type="dxa"/>
            <w:vMerge w:val="restart"/>
            <w:vAlign w:val="center"/>
          </w:tcPr>
          <w:p>
            <w:pPr>
              <w:tabs>
                <w:tab w:val="left" w:pos="1080"/>
              </w:tabs>
              <w:spacing w:line="320" w:lineRule="exact"/>
              <w:rPr>
                <w:rFonts w:hint="eastAsia" w:ascii="宋体" w:hAnsi="宋体"/>
                <w:color w:val="000000"/>
                <w:szCs w:val="21"/>
              </w:rPr>
            </w:pPr>
            <w:r>
              <w:rPr>
                <w:rFonts w:hint="eastAsia" w:ascii="宋体" w:hAnsi="宋体" w:eastAsia="宋体" w:cs="宋体"/>
                <w:color w:val="000000"/>
                <w:szCs w:val="21"/>
                <w:lang w:val="en-US" w:eastAsia="zh-CN"/>
              </w:rPr>
              <w:t>商务分</w:t>
            </w:r>
            <w:r>
              <w:rPr>
                <w:rFonts w:hint="eastAsia" w:ascii="宋体" w:hAnsi="宋体" w:eastAsia="宋体" w:cs="宋体"/>
                <w:color w:val="000000"/>
                <w:szCs w:val="21"/>
              </w:rPr>
              <w:t>（满分60分）</w:t>
            </w:r>
          </w:p>
        </w:tc>
        <w:tc>
          <w:tcPr>
            <w:tcW w:w="1899" w:type="dxa"/>
            <w:vAlign w:val="center"/>
          </w:tcPr>
          <w:p>
            <w:pPr>
              <w:tabs>
                <w:tab w:val="left" w:pos="1080"/>
              </w:tabs>
              <w:spacing w:line="320" w:lineRule="exact"/>
              <w:rPr>
                <w:rFonts w:ascii="宋体" w:hAnsi="宋体" w:eastAsia="宋体" w:cs="宋体"/>
                <w:color w:val="auto"/>
                <w:spacing w:val="89"/>
                <w:sz w:val="21"/>
              </w:rPr>
            </w:pPr>
            <w:r>
              <w:rPr>
                <w:rFonts w:hint="eastAsia" w:ascii="宋体" w:hAnsi="宋体" w:eastAsia="宋体" w:cs="宋体"/>
                <w:color w:val="000000"/>
                <w:szCs w:val="21"/>
                <w:lang w:val="en-US" w:eastAsia="zh-CN"/>
              </w:rPr>
              <w:t>磋商</w:t>
            </w:r>
            <w:r>
              <w:rPr>
                <w:rFonts w:hint="eastAsia" w:ascii="宋体" w:hAnsi="宋体" w:eastAsia="宋体" w:cs="宋体"/>
                <w:color w:val="000000"/>
                <w:szCs w:val="21"/>
              </w:rPr>
              <w:t>基准价计算方法</w:t>
            </w:r>
          </w:p>
        </w:tc>
        <w:tc>
          <w:tcPr>
            <w:tcW w:w="4703" w:type="dxa"/>
            <w:vAlign w:val="center"/>
          </w:tcPr>
          <w:p>
            <w:pPr>
              <w:tabs>
                <w:tab w:val="left" w:pos="1080"/>
              </w:tabs>
              <w:spacing w:line="320" w:lineRule="exact"/>
              <w:ind w:firstLine="0" w:firstLineChars="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w:t>
            </w:r>
            <w:r>
              <w:rPr>
                <w:rFonts w:hint="eastAsia" w:ascii="宋体" w:hAnsi="宋体" w:eastAsia="宋体" w:cs="宋体"/>
                <w:color w:val="000000"/>
                <w:szCs w:val="21"/>
                <w:lang w:val="en-US" w:eastAsia="zh-CN"/>
              </w:rPr>
              <w:t>磋商</w:t>
            </w:r>
            <w:r>
              <w:rPr>
                <w:rFonts w:hint="eastAsia" w:ascii="宋体" w:hAnsi="宋体" w:eastAsia="宋体" w:cs="宋体"/>
                <w:color w:val="auto"/>
                <w:szCs w:val="21"/>
              </w:rPr>
              <w:t>基准价的确定：</w:t>
            </w:r>
          </w:p>
          <w:p>
            <w:pPr>
              <w:tabs>
                <w:tab w:val="left" w:pos="1080"/>
              </w:tabs>
              <w:spacing w:line="320" w:lineRule="exact"/>
              <w:ind w:firstLine="0" w:firstLineChars="0"/>
              <w:rPr>
                <w:rFonts w:ascii="宋体" w:hAnsi="宋体" w:eastAsia="宋体" w:cs="宋体"/>
                <w:color w:val="auto"/>
                <w:spacing w:val="89"/>
                <w:sz w:val="21"/>
              </w:rPr>
            </w:pPr>
            <w:r>
              <w:rPr>
                <w:rFonts w:hint="eastAsia" w:ascii="宋体" w:hAnsi="宋体" w:eastAsia="宋体" w:cs="宋体"/>
                <w:b/>
                <w:color w:val="auto"/>
                <w:szCs w:val="21"/>
              </w:rPr>
              <w:t>1.除初步评审为废标之外，供应商的最低报价即为磋商基准价。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tabs>
                <w:tab w:val="left" w:pos="1080"/>
              </w:tabs>
              <w:spacing w:line="360" w:lineRule="exact"/>
              <w:jc w:val="center"/>
              <w:rPr>
                <w:rFonts w:ascii="宋体" w:hAnsi="宋体"/>
                <w:color w:val="000000"/>
                <w:szCs w:val="21"/>
              </w:rPr>
            </w:pPr>
          </w:p>
        </w:tc>
        <w:tc>
          <w:tcPr>
            <w:tcW w:w="1309" w:type="dxa"/>
            <w:vMerge w:val="continue"/>
            <w:vAlign w:val="top"/>
          </w:tcPr>
          <w:p>
            <w:pPr>
              <w:tabs>
                <w:tab w:val="left" w:pos="1080"/>
              </w:tabs>
              <w:spacing w:line="360" w:lineRule="exact"/>
              <w:rPr>
                <w:rFonts w:hint="eastAsia" w:ascii="宋体" w:hAnsi="宋体"/>
                <w:color w:val="000000"/>
                <w:szCs w:val="21"/>
              </w:rPr>
            </w:pPr>
          </w:p>
        </w:tc>
        <w:tc>
          <w:tcPr>
            <w:tcW w:w="1899" w:type="dxa"/>
            <w:vAlign w:val="center"/>
          </w:tcPr>
          <w:p>
            <w:pPr>
              <w:tabs>
                <w:tab w:val="left" w:pos="1080"/>
              </w:tabs>
              <w:spacing w:line="360" w:lineRule="exact"/>
              <w:rPr>
                <w:rFonts w:ascii="宋体" w:hAnsi="宋体"/>
                <w:b/>
                <w:color w:val="auto"/>
                <w:szCs w:val="21"/>
              </w:rPr>
            </w:pPr>
            <w:r>
              <w:rPr>
                <w:rFonts w:hint="eastAsia" w:ascii="宋体" w:hAnsi="宋体"/>
                <w:color w:val="000000"/>
                <w:szCs w:val="21"/>
                <w:lang w:val="en-US" w:eastAsia="zh-CN"/>
              </w:rPr>
              <w:t>价格</w:t>
            </w:r>
            <w:r>
              <w:rPr>
                <w:rFonts w:hint="eastAsia" w:ascii="宋体" w:hAnsi="宋体"/>
                <w:color w:val="000000"/>
                <w:szCs w:val="21"/>
              </w:rPr>
              <w:t>（满分</w:t>
            </w:r>
            <w:r>
              <w:rPr>
                <w:rFonts w:hint="eastAsia" w:ascii="宋体" w:hAnsi="宋体"/>
                <w:color w:val="000000"/>
                <w:szCs w:val="21"/>
                <w:lang w:val="en-US" w:eastAsia="zh-CN"/>
              </w:rPr>
              <w:t>45</w:t>
            </w:r>
            <w:r>
              <w:rPr>
                <w:rFonts w:hint="eastAsia" w:ascii="宋体" w:hAnsi="宋体"/>
                <w:color w:val="000000"/>
                <w:szCs w:val="21"/>
              </w:rPr>
              <w:t>分）</w:t>
            </w:r>
          </w:p>
        </w:tc>
        <w:tc>
          <w:tcPr>
            <w:tcW w:w="4703" w:type="dxa"/>
            <w:vAlign w:val="center"/>
          </w:tcPr>
          <w:p>
            <w:pPr>
              <w:tabs>
                <w:tab w:val="left" w:pos="1080"/>
              </w:tabs>
              <w:spacing w:line="360" w:lineRule="exact"/>
              <w:rPr>
                <w:rFonts w:ascii="宋体" w:hAnsi="宋体" w:eastAsia="宋体" w:cs="宋体"/>
                <w:sz w:val="24"/>
                <w:szCs w:val="24"/>
              </w:rPr>
            </w:pPr>
            <w:r>
              <w:rPr>
                <w:rFonts w:ascii="宋体" w:hAnsi="宋体" w:eastAsia="宋体" w:cs="宋体"/>
                <w:sz w:val="24"/>
                <w:szCs w:val="24"/>
              </w:rPr>
              <w:t>报价得分=（评标基准价/某供应商报价）×价格权值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tabs>
                <w:tab w:val="left" w:pos="1080"/>
              </w:tabs>
              <w:spacing w:line="360" w:lineRule="exact"/>
              <w:jc w:val="center"/>
              <w:rPr>
                <w:rFonts w:hint="eastAsia" w:ascii="宋体" w:hAnsi="宋体"/>
                <w:color w:val="000000"/>
                <w:szCs w:val="21"/>
              </w:rPr>
            </w:pPr>
          </w:p>
        </w:tc>
        <w:tc>
          <w:tcPr>
            <w:tcW w:w="1309" w:type="dxa"/>
            <w:vMerge w:val="continue"/>
            <w:vAlign w:val="top"/>
          </w:tcPr>
          <w:p>
            <w:pPr>
              <w:tabs>
                <w:tab w:val="left" w:pos="1080"/>
              </w:tabs>
              <w:spacing w:line="360" w:lineRule="exact"/>
              <w:rPr>
                <w:rFonts w:hint="eastAsia" w:ascii="宋体" w:hAnsi="宋体"/>
                <w:color w:val="000000"/>
                <w:szCs w:val="21"/>
              </w:rPr>
            </w:pPr>
          </w:p>
        </w:tc>
        <w:tc>
          <w:tcPr>
            <w:tcW w:w="1899" w:type="dxa"/>
            <w:vAlign w:val="center"/>
          </w:tcPr>
          <w:p>
            <w:pPr>
              <w:tabs>
                <w:tab w:val="left" w:pos="1080"/>
              </w:tabs>
              <w:spacing w:line="360" w:lineRule="exact"/>
              <w:rPr>
                <w:rFonts w:ascii="宋体" w:hAnsi="宋体" w:eastAsia="宋体" w:cs="宋体"/>
                <w:sz w:val="24"/>
                <w:szCs w:val="24"/>
              </w:rPr>
            </w:pPr>
            <w:r>
              <w:rPr>
                <w:rFonts w:hint="eastAsia" w:ascii="宋体" w:hAnsi="宋体" w:cs="Courier New"/>
                <w:bCs/>
              </w:rPr>
              <w:t>履约能力</w:t>
            </w:r>
            <w:r>
              <w:rPr>
                <w:rFonts w:hint="eastAsia" w:ascii="宋体" w:hAnsi="宋体"/>
                <w:color w:val="000000"/>
                <w:szCs w:val="21"/>
              </w:rPr>
              <w:t>（满分</w:t>
            </w:r>
            <w:r>
              <w:rPr>
                <w:rFonts w:hint="eastAsia" w:ascii="宋体" w:hAnsi="宋体"/>
                <w:color w:val="000000"/>
                <w:szCs w:val="21"/>
                <w:lang w:val="en-US" w:eastAsia="zh-CN"/>
              </w:rPr>
              <w:t>6</w:t>
            </w:r>
            <w:r>
              <w:rPr>
                <w:rFonts w:hint="eastAsia" w:ascii="宋体" w:hAnsi="宋体"/>
                <w:color w:val="000000"/>
                <w:szCs w:val="21"/>
              </w:rPr>
              <w:t>分）</w:t>
            </w:r>
          </w:p>
        </w:tc>
        <w:tc>
          <w:tcPr>
            <w:tcW w:w="4703" w:type="dxa"/>
            <w:vAlign w:val="center"/>
          </w:tcPr>
          <w:p>
            <w:pPr>
              <w:tabs>
                <w:tab w:val="left" w:pos="1080"/>
              </w:tabs>
              <w:spacing w:line="320" w:lineRule="exact"/>
              <w:ind w:firstLine="0" w:firstLineChars="0"/>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竞</w:t>
            </w:r>
            <w:r>
              <w:rPr>
                <w:rFonts w:hint="eastAsia" w:ascii="宋体" w:hAnsi="宋体" w:eastAsia="宋体" w:cs="宋体"/>
                <w:color w:val="000000"/>
                <w:szCs w:val="21"/>
              </w:rPr>
              <w:t>标人具备在有效期内的ISO9001、ISO14001、ISO45001相关认证的，每项认证得</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分（提供认证证书复印件），本项满分</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tabs>
                <w:tab w:val="left" w:pos="1080"/>
              </w:tabs>
              <w:spacing w:line="360" w:lineRule="exact"/>
              <w:jc w:val="center"/>
              <w:rPr>
                <w:rFonts w:hint="eastAsia" w:ascii="宋体" w:hAnsi="宋体"/>
                <w:color w:val="000000"/>
                <w:szCs w:val="21"/>
              </w:rPr>
            </w:pPr>
          </w:p>
        </w:tc>
        <w:tc>
          <w:tcPr>
            <w:tcW w:w="1309" w:type="dxa"/>
            <w:vMerge w:val="continue"/>
            <w:vAlign w:val="center"/>
          </w:tcPr>
          <w:p>
            <w:pPr>
              <w:widowControl/>
              <w:tabs>
                <w:tab w:val="left" w:pos="1080"/>
              </w:tabs>
              <w:spacing w:line="320" w:lineRule="exact"/>
              <w:jc w:val="left"/>
              <w:rPr>
                <w:rFonts w:hint="eastAsia" w:ascii="宋体" w:hAnsi="宋体" w:eastAsia="宋体" w:cs="宋体"/>
                <w:bCs w:val="0"/>
                <w:color w:val="000000"/>
                <w:kern w:val="2"/>
                <w:sz w:val="21"/>
                <w:szCs w:val="21"/>
                <w:lang w:val="en-US" w:eastAsia="zh-CN" w:bidi="ar-SA"/>
              </w:rPr>
            </w:pPr>
          </w:p>
        </w:tc>
        <w:tc>
          <w:tcPr>
            <w:tcW w:w="1899" w:type="dxa"/>
            <w:vAlign w:val="top"/>
          </w:tcPr>
          <w:p>
            <w:pPr>
              <w:tabs>
                <w:tab w:val="left" w:pos="1080"/>
              </w:tabs>
              <w:spacing w:line="32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bCs w:val="0"/>
                <w:color w:val="000000"/>
                <w:szCs w:val="21"/>
              </w:rPr>
              <w:t>信誉业绩</w:t>
            </w:r>
            <w:r>
              <w:rPr>
                <w:rFonts w:hint="eastAsia" w:ascii="宋体" w:hAnsi="宋体"/>
                <w:color w:val="000000"/>
                <w:szCs w:val="21"/>
              </w:rPr>
              <w:t>（满分</w:t>
            </w:r>
            <w:r>
              <w:rPr>
                <w:rFonts w:hint="eastAsia" w:ascii="宋体" w:hAnsi="宋体"/>
                <w:color w:val="000000"/>
                <w:szCs w:val="21"/>
                <w:lang w:val="en-US" w:eastAsia="zh-CN"/>
              </w:rPr>
              <w:t>9</w:t>
            </w:r>
            <w:r>
              <w:rPr>
                <w:rFonts w:hint="eastAsia" w:ascii="宋体" w:hAnsi="宋体"/>
                <w:color w:val="000000"/>
                <w:szCs w:val="21"/>
              </w:rPr>
              <w:t>分）</w:t>
            </w:r>
          </w:p>
        </w:tc>
        <w:tc>
          <w:tcPr>
            <w:tcW w:w="4703" w:type="dxa"/>
            <w:vAlign w:val="top"/>
          </w:tcPr>
          <w:p>
            <w:pPr>
              <w:tabs>
                <w:tab w:val="left" w:pos="1080"/>
              </w:tabs>
              <w:spacing w:line="320" w:lineRule="exact"/>
              <w:ind w:firstLine="0" w:firstLineChars="0"/>
              <w:jc w:val="left"/>
              <w:outlineLvl w:val="0"/>
              <w:rPr>
                <w:rFonts w:hint="eastAsia" w:ascii="宋体" w:hAnsi="宋体" w:eastAsia="宋体" w:cs="宋体"/>
                <w:color w:val="000000"/>
                <w:szCs w:val="21"/>
              </w:rPr>
            </w:pPr>
            <w:r>
              <w:rPr>
                <w:rFonts w:hint="eastAsia" w:ascii="宋体" w:hAnsi="宋体" w:eastAsia="宋体" w:cs="宋体"/>
                <w:color w:val="000000"/>
                <w:szCs w:val="21"/>
                <w:lang w:val="en-US" w:eastAsia="zh-CN"/>
              </w:rPr>
              <w:t>竞</w:t>
            </w:r>
            <w:r>
              <w:rPr>
                <w:rFonts w:hint="eastAsia" w:ascii="宋体" w:hAnsi="宋体" w:eastAsia="宋体" w:cs="宋体"/>
                <w:color w:val="000000"/>
                <w:szCs w:val="21"/>
              </w:rPr>
              <w:t>标人自20</w:t>
            </w:r>
            <w:r>
              <w:rPr>
                <w:rFonts w:hint="eastAsia" w:ascii="宋体" w:hAnsi="宋体" w:eastAsia="宋体" w:cs="宋体"/>
                <w:color w:val="000000"/>
                <w:szCs w:val="21"/>
                <w:lang w:val="en-US" w:eastAsia="zh-CN"/>
              </w:rPr>
              <w:t>19</w:t>
            </w:r>
            <w:r>
              <w:rPr>
                <w:rFonts w:hint="eastAsia" w:ascii="宋体" w:hAnsi="宋体" w:eastAsia="宋体" w:cs="宋体"/>
                <w:color w:val="000000"/>
                <w:szCs w:val="21"/>
              </w:rPr>
              <w:t>年以来具有同类项目业绩的，提供证明材料（提供合同关键页复印件，或中标通知书，体现项目名称、金额、采购内容等信息，加盖公章），每项得</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分，满分</w:t>
            </w:r>
            <w:r>
              <w:rPr>
                <w:rFonts w:hint="eastAsia" w:ascii="宋体" w:hAnsi="宋体" w:eastAsia="宋体" w:cs="宋体"/>
                <w:color w:val="000000"/>
                <w:szCs w:val="21"/>
                <w:lang w:val="en-US" w:eastAsia="zh-CN"/>
              </w:rPr>
              <w:t>9</w:t>
            </w:r>
            <w:r>
              <w:rPr>
                <w:rFonts w:hint="eastAsia" w:ascii="宋体" w:hAnsi="宋体" w:eastAsia="宋体" w:cs="宋体"/>
                <w:color w:val="000000"/>
                <w:szCs w:val="21"/>
              </w:rPr>
              <w:t>分。</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41"/>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第六章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18" w:name="_Toc44229899"/>
      <w:bookmarkStart w:id="19" w:name="_Toc31728084"/>
      <w:bookmarkStart w:id="20" w:name="_Toc35611516"/>
      <w:bookmarkStart w:id="21" w:name="_Toc35611438"/>
      <w:bookmarkStart w:id="22" w:name="_Toc30694"/>
      <w:bookmarkStart w:id="23" w:name="_Toc31723070"/>
      <w:r>
        <w:rPr>
          <w:rFonts w:hint="eastAsia" w:ascii="宋体" w:hAnsi="宋体" w:eastAsia="宋体" w:cs="宋体"/>
          <w:b w:val="0"/>
          <w:bCs w:val="0"/>
          <w:sz w:val="32"/>
          <w:szCs w:val="32"/>
        </w:rPr>
        <w:t>一、资格证明文件格式</w:t>
      </w:r>
      <w:bookmarkEnd w:id="18"/>
      <w:bookmarkEnd w:id="19"/>
      <w:bookmarkEnd w:id="20"/>
      <w:bookmarkEnd w:id="21"/>
      <w:bookmarkEnd w:id="22"/>
      <w:bookmarkEnd w:id="23"/>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粮食加工产业园视频监控设备采购</w:t>
      </w:r>
    </w:p>
    <w:tbl>
      <w:tblPr>
        <w:tblStyle w:val="21"/>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773"/>
        <w:gridCol w:w="4032"/>
        <w:gridCol w:w="572"/>
        <w:gridCol w:w="600"/>
        <w:gridCol w:w="815"/>
        <w:gridCol w:w="832"/>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参数要求，内容为最底标准，需等于或以上</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   （元）</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6"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0"/>
                <w:szCs w:val="20"/>
                <w:u w:val="none"/>
                <w:lang w:val="en-US" w:eastAsia="zh-CN" w:bidi="ar"/>
              </w:rPr>
              <w:t>400万POE全彩高清网络摄像机</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 1/1.8"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 彩色：0.0005 Lux @（F1.0，AGC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 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景深范围: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mm：1.7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mm：3.6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mm：4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mm：6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焦距&amp;视场角: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mm，水平视场角：105.7°，垂直视场角：57.2°，对角视场角：124.5°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mm，水平视场角：88.7°，垂直视场角：44.7°，对角视场角：107.5°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mm，水平视场角：55.2°，垂直视场角：29.3°，对角视场角：64.6°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mm，水平视场角：38.8°，垂直视场角：21.1°，对角视场角：45.2°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 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 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 柔光灯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 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 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网络存储: 支持NAS（NFS，SMB/CIFS均支持）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 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 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枪机横臂支架</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与序号1配套使用的支架，横臂材质：镀锌40方管，管厚1.5mm；横臂底座78mm方2.0厚冷轧板，支架固定在伸缩立柱上面。</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7"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2"/>
                <w:szCs w:val="22"/>
                <w:u w:val="none"/>
                <w:lang w:val="en-US" w:eastAsia="zh-CN" w:bidi="ar"/>
              </w:rPr>
              <w:t>400万POE防爆高清网络摄像机</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传感器类型：1/2.7”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照度，彩色: 0.005 Lux @(F1.2,AGC 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镜头：黑白: 0.0002 Lux @(F1.2,AGC ON),0Lux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4mm @F1.6:水平视场角: 78.4垂直视场角:42对角线视场角:93.8°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6mm @F1.6:水平视场角:48.8”垂直视场角:26.4对角线视场角:56.8°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8mm @F1.6:水平视场角:37.5垂直视场角:20.对角线视场角:43.3°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镜头尺寸接口：M12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快门：1/3 s~1/100,000 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调整角度：水平:-90°~90°垂直:-30°~30°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日夜转换模式：ICR红外滤片式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宽动态范围：120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图像尺寸：2560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帧率：50 Hz: 25 fps (2560 x1440,1920  1080,1280 x 960,1280 x720）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 30 fps (2560 x 1440,1920 x 1080,1280 x 960,1280 x720)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第三码流分辨率与帧率：独立于主码流设置支持: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 Hz: 25 fps (1920 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 30 fps(1920 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图像设置：饱和度,亮度，对比度，锐度,AGC,白平衡,旋转通过客户端或者浏览器可调      图像增强：背光补偿，强光抑制,透雾，电子防抖,畸变矫正,3D 数字降噪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通用功能：防闪烁,三码流，心跳,镜像,密码保护,视频遮盖,水印技术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恢复出厂设置：支持按键，客户端或者浏览器恢复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异常报警：移动侦测,遮挡报警，网线断,IP 地址冲突，存储器满，存储器错,非法登录搭配存储功能：监控录像机+硬盘存储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行为分析：越界侦测，区域入侵侦测,进入区域侦测，离开区域侦测,徘徊侦测，人员聚集侦测，快速运动侦测,停车侦测,物品拿取侦测,物品遗留侦测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场景变更侦测，虚焦侦测人脸侦侧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补光距离：30m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防爆软管</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1米防爆挠性管； 线缆的防爆保护套管，G3/4"(外) 转 G3/4"(内),  内孔直径Ø15 ，长度1米</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防爆接线盒</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仓内防爆接线盒</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防爆摄像机支架</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防爆摄像头壁装支架</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909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②</w:t>
            </w:r>
            <w:r>
              <w:rPr>
                <w:rFonts w:hint="eastAsia" w:ascii="宋体" w:hAnsi="宋体" w:eastAsia="宋体" w:cs="宋体"/>
                <w:b/>
                <w:bCs/>
                <w:i w:val="0"/>
                <w:iCs w:val="0"/>
                <w:color w:val="000000"/>
                <w:kern w:val="0"/>
                <w:sz w:val="22"/>
                <w:szCs w:val="22"/>
                <w:u w:val="none"/>
                <w:lang w:val="en-US" w:eastAsia="zh-CN" w:bidi="ar"/>
              </w:rPr>
              <w:t>后端设备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2"/>
                <w:szCs w:val="22"/>
                <w:u w:val="none"/>
                <w:lang w:val="en-US" w:eastAsia="zh-CN" w:bidi="ar"/>
              </w:rPr>
              <w:t>2光8电千兆POE收发器</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1、8端口支持标准IEEE802.3af供电，8个10/100/1000Mbps自适应RJ45端口，符合IEEE802.310Base-T和IEEE 802.3u100Base-TX和IEEE 802.3z1000Base-TX标准。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2、PD侦测功能，带POE控制芯片，只有识别到前端设备为POE设备才会提供供电，不烧设备，可接入所有厂家的摄像头，海康，大华，中维等等，电脑笔记本，路由器，交换机，电话机等，不会烧坏设备。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3、带标准的IEEE802.3协议，兼容性要强，使用领域范围大，可以任意接入网络设备并提供数字信号传输。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4、支持为IEEE 802af/at 标准的终端设备供电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5、支持全双工流控和半双工流。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6、支持上行端口防雷(达到二级防雷要求)。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7、附带2个上联SC光口利于网络拓展。</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8"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2光4电千兆POE收发器</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1、千兆2光4电，1000M POE4个，单纤SC光口2个。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动检测与识别符合IEEE802.af标准的PD设备并为其供电，自动功能管理，受电设备总功率过载，系统启动优先机制，切断优先级低的端口供电。支持过流保护，过压保护，PD功率分级节能机制强大自动关断功能，事实保护外接任何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3、IP30防护等级，桌面式与壁挂式双重安装模式，高低温循环测试，高强度环境承受能力，二级防浪涌设计，通过高压3.8KV，过流短路保护测试。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4、满足4台500万网络摄像机流畅传输，超高背板宽带1.6G包转发率为0.1488Mpps，经典Realtek以太网数据交换内核，包缓存内存96KB，支持1K的MAC地址表深度。</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1"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2"/>
                <w:szCs w:val="22"/>
                <w:u w:val="none"/>
                <w:lang w:val="en-US" w:eastAsia="zh-CN" w:bidi="ar"/>
              </w:rPr>
              <w:t>汇聚交换机</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24个千兆自适应RJ45端口和4个千兆SFP端口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工业级工作温度：-40℃~75℃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宽电压输入：100-240 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IP30防护：减少粉尘影响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支持ERPS环网协议，RPL配置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双可拔插电源输入，冗余备份，大大提高产品供电可靠性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EMS高防护等级，无惧各种恶劣环境</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9"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0"/>
                <w:szCs w:val="20"/>
                <w:u w:val="none"/>
                <w:lang w:val="en-US" w:eastAsia="zh-CN" w:bidi="ar"/>
              </w:rPr>
              <w:t>网络硬盘录像机</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1、约3U机架式，支持接入≥64路H.264、H.265格式高清码流接入，支持输入带宽≥384Mbps，输出带宽≥256Mbps，支持≥16个SATA接口硬盘。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2、支持接入1T、2T、3T、4T、6T、8T、10T、12TB、14TB、16TB、18TB容量的SATA接口硬盘，支持RAID0、RAID1、RAID5、RAID6、RAID10，支持全局热备盘。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3、可同时解码输出≥32路H.265编码、30fps、1920×1080格式的视频图像，或同时解码输出≥8路 H.265编码、25fps、4096×2160或者3840×2160格式的视频图像，或同时解码输出≥6路 H.265编码、20fps、4000×3000格式的视频图像，或同时解码输出≥2路H.265编码、25fps、8160×3616格式的视频图像。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4、显示输出分辨率具有不低于8K(7680×4320)/30Hz, 4K(3840×2160)/60Hz、4K(3840×2160)/30Hz、2K（2560×1440）/60Hz，1080P（1920×1080）/60Hz，UXGA（1600×1200）/60Hz，SXGA（1280×1024）/60Hz，720P（1280×720）/60Hz，XGA（1024×768）/60Hz设置选项。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具有≥2个HDMI接口，≥2个VGA接口，≥1个CVBS接口，支持≥3组异源输出，每组输出可独立配置全局音频预览，HDMI接口最大支持8K输出，当一路输出8K时，另一路最高支持1080P输出，两个HDMI接口可同时支持双4K异源输出，CVBS接口支持≥10档亮度调节，支持PAL和NTSC制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6、支持在视频画面叠加智能分析规则框，智能分析规则框数量和大小可跟随目标自动调整，并随目标消失而消失。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7、支持检索与回放，在录像回放界面设置自动检索出关联通道录像，并以日历形式展示出录像分布情况，同时自动回放当天录像。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8、支持回放双进度条控制功能，一条为当前回放通道，一条为全部通道，支持鼠标在进度条上点击进行定位回放。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9、支持OTA升级功能，支持手动检查和设备自动检查云端升级包，自动升级，支持云端定向发布升级包，可根据设备序列号范围推送指定的升级包。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10、支持将设备日志上传到日志服务器，可配置日志服务器IP地址和端口。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11、支持本地和远程进行IPv6配置，IPv6支持设置多种模式：路由公告、自动获取、手动配置。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12、具有存储安全保障功能，当存储压力过高或硬盘出现性能不足时，可优先录像业务存储。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N+M热备份功能，支持设置一台设备为≥32台的热备机，当主设备断网时，备份设备替换主设备进行录像工作，当主设备正常时，备份机可回传录像文件至主设备，备份机回到热备状态，支持N+M热备功能，可将多台设备分别设置为主服务器和备用服务器，可配置高速/中速/低速回传（1＜M＜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14、支持活动目标与实时预览同屏显示，实时预览的同时可以提取视频画面中的活动目标，可显示人脸、人体、车辆等目标图片，点击图片可即时回放相关录像。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15、支持视图轮巡，支持单窗口轮巡、多窗口轮巡，支持修改自定义视图风格，支持批量删除视图资源，支持重启客户端后自动打开关闭前的视图界面。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16、支持报警的一键撤防，撤防的报警类型包括：弹出报警画面、声音警告、上传中心、发送邮件、触发报警输出。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17、支持≥2个RJ45千兆网络接口、≥2个USB2.0接口、≥2个USB3.0接口、≥1个eSata接口、≥16路报警输入接口、≥9路报警输出接口。</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2"/>
                <w:szCs w:val="22"/>
                <w:u w:val="none"/>
                <w:lang w:val="en-US" w:eastAsia="zh-CN" w:bidi="ar"/>
              </w:rPr>
              <w:t>10T监控硬盘</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企业级 10T 3.5寸SATA 7200转 256M监控硬盘</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要求录像存储90天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监控显示器</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小米65英寸 金属全面屏  4K超高清 工业安防（含安装）</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8"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电视壁挂支架</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毛重：3.9KG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材质：高强度钢（主体）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适用尺寸：40寸-75寸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支架参数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产品承重：70KG</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10米 4K HDMI高清线，用于连接录像机和监控显视器</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监控电脑</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联想(Lenovo)台式机电脑主机 扬天M4000q 英特尔酷睿i3(i3-12100 8G 512G Type-C Win11)21.45英寸整机</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门禁道闸系统可共用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监控中心配电箱</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含空开、排插、电源线等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909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③</w:t>
            </w:r>
            <w:r>
              <w:rPr>
                <w:rFonts w:hint="eastAsia" w:ascii="宋体" w:hAnsi="宋体" w:eastAsia="宋体" w:cs="宋体"/>
                <w:b/>
                <w:bCs/>
                <w:i w:val="0"/>
                <w:iCs w:val="0"/>
                <w:color w:val="000000"/>
                <w:kern w:val="0"/>
                <w:sz w:val="22"/>
                <w:szCs w:val="22"/>
                <w:u w:val="none"/>
                <w:lang w:val="en-US" w:eastAsia="zh-CN" w:bidi="ar"/>
              </w:rPr>
              <w:t>线材、辅材、安装费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超五类网线</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超五类8芯0.5无氧铜网络线</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主路电源线</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 2*2.5无氧铜、国标</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支路电源线</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 2*1.5无氧铜、国标</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主路光缆</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室外单模铠装光缆24芯</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支路光缆</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室外单模铠装光缆4芯</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含对接海关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24口光纤终端盒</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24口SC光纤终端盒</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4口光纤终端盒</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4口SC光纤终端盒</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千兆单模单纤光电转换器模块</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伸缩立杆</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高度可伸缩（1-1.6米）；材质：镀锌圆管 壁厚2.0mm；下杆89管，上杆76管；底座直径200 厚度8mm；安装在围墙柱顶</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2.0塑胶管</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监控网络设备箱</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前端监控网络汇聚</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网络机柜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规格600*800*1600，含PDU电源排插，加厚款，钢板厚度1.0mm、立柱厚度2.0mm</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尾纤</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1米单模SC尾纤</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水晶头/胶布/波纹软管/线管弯头/钉子/排插/抱箍等辅材</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光纤熔接</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安装/布线/调试/登高器械租用/对接海关平台光缆布设及调试</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延保服务费</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免费质保1年，延长质保2年后，质保期是3年</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909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b/>
                <w:bCs/>
                <w:i w:val="0"/>
                <w:iCs w:val="0"/>
                <w:color w:val="000000"/>
                <w:sz w:val="24"/>
                <w:szCs w:val="24"/>
                <w:u w:val="none"/>
                <w:lang w:val="en-US" w:eastAsia="zh-CN"/>
              </w:rPr>
              <w:t>含税总报价：</w:t>
            </w:r>
            <w:r>
              <w:rPr>
                <w:rFonts w:hint="eastAsia" w:ascii="宋体" w:hAnsi="宋体" w:eastAsia="宋体" w:cs="宋体"/>
                <w:b/>
                <w:bCs/>
                <w:i w:val="0"/>
                <w:iCs w:val="0"/>
                <w:color w:val="000000"/>
                <w:sz w:val="24"/>
                <w:szCs w:val="24"/>
                <w:u w:val="single"/>
                <w:lang w:val="en-US" w:eastAsia="zh-CN"/>
              </w:rPr>
              <w:t xml:space="preserve">                 </w:t>
            </w:r>
            <w:r>
              <w:rPr>
                <w:rFonts w:hint="eastAsia" w:ascii="宋体" w:hAnsi="宋体" w:eastAsia="宋体" w:cs="宋体"/>
                <w:b/>
                <w:bCs/>
                <w:i w:val="0"/>
                <w:iCs w:val="0"/>
                <w:color w:val="000000"/>
                <w:sz w:val="24"/>
                <w:szCs w:val="24"/>
                <w:u w:val="none"/>
                <w:lang w:val="en-US" w:eastAsia="zh-CN"/>
              </w:rPr>
              <w:t>元，税率</w:t>
            </w:r>
            <w:r>
              <w:rPr>
                <w:rFonts w:hint="eastAsia" w:ascii="宋体" w:hAnsi="宋体" w:eastAsia="宋体" w:cs="宋体"/>
                <w:b/>
                <w:bCs/>
                <w:i w:val="0"/>
                <w:iCs w:val="0"/>
                <w:color w:val="000000"/>
                <w:sz w:val="24"/>
                <w:szCs w:val="24"/>
                <w:u w:val="single"/>
                <w:lang w:val="en-US" w:eastAsia="zh-CN"/>
              </w:rPr>
              <w:t xml:space="preserve">   %</w:t>
            </w:r>
            <w:r>
              <w:rPr>
                <w:rFonts w:hint="eastAsia" w:ascii="宋体" w:hAnsi="宋体" w:eastAsia="宋体" w:cs="宋体"/>
                <w:b/>
                <w:bCs/>
                <w:i w:val="0"/>
                <w:iCs w:val="0"/>
                <w:color w:val="000000"/>
                <w:sz w:val="24"/>
                <w:szCs w:val="24"/>
                <w:u w:val="none"/>
                <w:lang w:val="en-US" w:eastAsia="zh-CN"/>
              </w:rPr>
              <w:t>，不含税总报价</w:t>
            </w:r>
            <w:r>
              <w:rPr>
                <w:rFonts w:hint="eastAsia" w:ascii="宋体" w:hAnsi="宋体" w:eastAsia="宋体" w:cs="宋体"/>
                <w:b/>
                <w:bCs/>
                <w:i w:val="0"/>
                <w:iCs w:val="0"/>
                <w:color w:val="000000"/>
                <w:sz w:val="24"/>
                <w:szCs w:val="24"/>
                <w:u w:val="single"/>
                <w:lang w:val="en-US" w:eastAsia="zh-CN"/>
              </w:rPr>
              <w:t xml:space="preserve">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8" w:hRule="atLeast"/>
          <w:jc w:val="center"/>
        </w:trPr>
        <w:tc>
          <w:tcPr>
            <w:tcW w:w="90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1"/>
                <w:numId w:val="0"/>
              </w:numPr>
              <w:suppressLineNumbers w:val="0"/>
              <w:jc w:val="left"/>
              <w:textAlignment w:val="center"/>
              <w:rPr>
                <w:rFonts w:hint="eastAsia" w:eastAsiaTheme="minorEastAsia"/>
                <w:lang w:val="en-US" w:eastAsia="zh-CN"/>
              </w:rPr>
            </w:pPr>
            <w:r>
              <w:rPr>
                <w:rFonts w:hint="eastAsia"/>
                <w:lang w:val="en-US" w:eastAsia="zh-CN"/>
              </w:rPr>
              <w:t xml:space="preserve">报价说明：    </w:t>
            </w:r>
            <w:r>
              <w:rPr>
                <w:rFonts w:hint="eastAsia"/>
                <w:lang w:val="en-US" w:eastAsia="zh-CN"/>
              </w:rPr>
              <w:br w:type="textWrapping"/>
            </w:r>
            <w:r>
              <w:rPr>
                <w:rFonts w:hint="eastAsia"/>
                <w:lang w:val="en-US" w:eastAsia="zh-CN"/>
              </w:rPr>
              <w:t>1、以上报价含人工费、材料费、设备费、机械使用费、管理费、利润、规费、税金、运费、安装及调试费等。</w:t>
            </w:r>
            <w:r>
              <w:rPr>
                <w:rFonts w:hint="eastAsia"/>
                <w:lang w:val="en-US" w:eastAsia="zh-CN"/>
              </w:rPr>
              <w:br w:type="textWrapping"/>
            </w:r>
            <w:r>
              <w:rPr>
                <w:rFonts w:hint="eastAsia"/>
                <w:lang w:val="en-US" w:eastAsia="zh-CN"/>
              </w:rPr>
              <w:t>2、</w:t>
            </w:r>
            <w:r>
              <w:rPr>
                <w:rFonts w:hint="eastAsia"/>
                <w:b/>
                <w:bCs/>
                <w:lang w:val="en-US" w:eastAsia="zh-CN"/>
              </w:rPr>
              <w:t>监控系统报价需包含对接钦州港海关监控平台（备注：此平台使用的是大华设备）。</w:t>
            </w:r>
            <w:r>
              <w:rPr>
                <w:rFonts w:hint="eastAsia"/>
                <w:lang w:val="en-US" w:eastAsia="zh-CN"/>
              </w:rPr>
              <w:br w:type="textWrapping"/>
            </w:r>
            <w:r>
              <w:rPr>
                <w:rFonts w:hint="eastAsia"/>
                <w:lang w:val="en-US" w:eastAsia="zh-CN"/>
              </w:rPr>
              <w:t>3、质保期3年。</w:t>
            </w:r>
            <w:r>
              <w:rPr>
                <w:rFonts w:hint="eastAsia"/>
                <w:lang w:val="en-US" w:eastAsia="zh-CN"/>
              </w:rPr>
              <w:br w:type="textWrapping"/>
            </w:r>
            <w:r>
              <w:rPr>
                <w:rFonts w:hint="eastAsia"/>
                <w:lang w:val="en-US" w:eastAsia="zh-CN"/>
              </w:rPr>
              <w:t>4、设备的品牌在行业中具有良好的口碑或大众认知度较高，参考海康、大华及同等档次品牌。</w:t>
            </w:r>
            <w:r>
              <w:rPr>
                <w:rFonts w:hint="eastAsia"/>
                <w:lang w:val="en-US" w:eastAsia="zh-CN"/>
              </w:rPr>
              <w:br w:type="textWrapping"/>
            </w:r>
            <w:r>
              <w:rPr>
                <w:rFonts w:hint="eastAsia"/>
                <w:lang w:val="en-US" w:eastAsia="zh-CN"/>
              </w:rPr>
              <w:t>5、开票为增值税专票。</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粮食加工产业园视频监控设备采购</w:t>
      </w:r>
      <w:r>
        <w:rPr>
          <w:rFonts w:hint="eastAsia" w:ascii="宋体" w:hAnsi="宋体" w:eastAsia="宋体" w:cs="宋体"/>
          <w:b w:val="0"/>
          <w:bCs w:val="0"/>
          <w:sz w:val="28"/>
          <w:szCs w:val="28"/>
          <w:lang w:val="en-US" w:eastAsia="zh-CN"/>
        </w:rPr>
        <w:t xml:space="preserve"> </w:t>
      </w:r>
    </w:p>
    <w:tbl>
      <w:tblPr>
        <w:tblStyle w:val="21"/>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1"/>
                <w:szCs w:val="21"/>
                <w:highlight w:val="none"/>
                <w:u w:val="none"/>
                <w:lang w:val="en-US" w:eastAsia="zh-CN" w:bidi="ar"/>
              </w:rPr>
              <w:t>项目要求及技术需求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vAlign w:val="center"/>
          </w:tcPr>
          <w:p>
            <w:pPr>
              <w:widowControl/>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b/>
                <w:bCs w:val="0"/>
                <w:color w:val="auto"/>
                <w:szCs w:val="21"/>
                <w:highlight w:val="none"/>
              </w:rPr>
              <w:t>交付使用期</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color w:val="auto"/>
                <w:kern w:val="0"/>
                <w:sz w:val="22"/>
                <w:szCs w:val="22"/>
                <w:highlight w:val="none"/>
                <w:u w:val="none"/>
                <w:lang w:bidi="ar"/>
              </w:rPr>
              <w:t>报价要求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color w:val="auto"/>
                <w:kern w:val="0"/>
                <w:sz w:val="22"/>
                <w:highlight w:val="none"/>
                <w:u w:val="none"/>
                <w:lang w:bidi="ar"/>
              </w:rPr>
              <w:t>售后服务要求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其他要求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756" w:type="dxa"/>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bl>
    <w:p>
      <w:pPr>
        <w:pStyle w:val="16"/>
        <w:rPr>
          <w:rFonts w:hint="eastAsia" w:ascii="Times New Roman" w:hAnsi="Times New Roman" w:eastAsia="宋体" w:cs="Times New Roman"/>
        </w:rPr>
      </w:pP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竞争性磋商</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6"/>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pStyle w:val="41"/>
        <w:rPr>
          <w:rFonts w:hint="eastAsia"/>
          <w:lang w:val="en-US" w:eastAsia="zh-CN"/>
        </w:rPr>
      </w:pPr>
      <w:r>
        <w:rPr>
          <w:rFonts w:hint="eastAsia"/>
          <w:lang w:val="en-US" w:eastAsia="zh-CN"/>
        </w:rPr>
        <w:t>第七章  拟签订的合同文本</w:t>
      </w:r>
    </w:p>
    <w:p>
      <w:pPr>
        <w:jc w:val="center"/>
        <w:rPr>
          <w:rFonts w:hint="eastAsia" w:ascii="楷体" w:hAnsi="楷体" w:eastAsia="楷体"/>
          <w:b/>
          <w:sz w:val="28"/>
          <w:szCs w:val="28"/>
        </w:rPr>
      </w:pPr>
      <w:r>
        <w:rPr>
          <w:rFonts w:hint="eastAsia" w:ascii="楷体" w:hAnsi="楷体" w:eastAsia="楷体"/>
          <w:b/>
          <w:sz w:val="28"/>
          <w:szCs w:val="28"/>
          <w:lang w:val="en-US" w:eastAsia="zh-CN"/>
        </w:rPr>
        <w:t>粮食加工产业园视频监控设备采购</w:t>
      </w:r>
      <w:r>
        <w:rPr>
          <w:rFonts w:hint="eastAsia" w:ascii="楷体" w:hAnsi="楷体" w:eastAsia="楷体"/>
          <w:b/>
          <w:sz w:val="28"/>
          <w:szCs w:val="28"/>
        </w:rPr>
        <w:t>合同</w:t>
      </w:r>
    </w:p>
    <w:p>
      <w:pPr>
        <w:pStyle w:val="2"/>
      </w:pPr>
    </w:p>
    <w:p>
      <w:pPr>
        <w:pStyle w:val="2"/>
      </w:pPr>
    </w:p>
    <w:p>
      <w:pPr>
        <w:pStyle w:val="2"/>
      </w:pPr>
    </w:p>
    <w:p>
      <w:pPr>
        <w:pStyle w:val="2"/>
      </w:pPr>
    </w:p>
    <w:p>
      <w:pPr>
        <w:pStyle w:val="2"/>
        <w:rPr>
          <w:sz w:val="21"/>
          <w:szCs w:val="21"/>
        </w:rPr>
      </w:pPr>
    </w:p>
    <w:p>
      <w:pPr>
        <w:pStyle w:val="2"/>
        <w:rPr>
          <w:sz w:val="21"/>
          <w:szCs w:val="21"/>
        </w:rPr>
      </w:pPr>
    </w:p>
    <w:p>
      <w:pPr>
        <w:rPr>
          <w:rFonts w:ascii="楷体" w:hAnsi="楷体" w:eastAsia="楷体" w:cs="宋体"/>
          <w:kern w:val="0"/>
          <w:sz w:val="21"/>
          <w:szCs w:val="21"/>
        </w:rPr>
      </w:pPr>
      <w:r>
        <w:rPr>
          <w:rFonts w:ascii="楷体" w:hAnsi="楷体" w:eastAsia="楷体"/>
          <w:sz w:val="21"/>
          <w:szCs w:val="21"/>
        </w:rPr>
        <w:t xml:space="preserve">                              </w:t>
      </w:r>
    </w:p>
    <w:p>
      <w:pPr>
        <w:rPr>
          <w:rFonts w:hint="default" w:ascii="楷体" w:hAnsi="楷体" w:eastAsia="楷体"/>
          <w:sz w:val="21"/>
          <w:szCs w:val="21"/>
          <w:lang w:val="en-US"/>
        </w:rPr>
      </w:pPr>
      <w:r>
        <w:rPr>
          <w:rFonts w:ascii="楷体" w:hAnsi="楷体" w:eastAsia="楷体"/>
          <w:sz w:val="21"/>
          <w:szCs w:val="21"/>
        </w:rPr>
        <w:t xml:space="preserve">                                     </w:t>
      </w:r>
      <w:r>
        <w:rPr>
          <w:rFonts w:hint="eastAsia" w:ascii="楷体" w:hAnsi="楷体" w:eastAsia="楷体"/>
          <w:sz w:val="21"/>
          <w:szCs w:val="21"/>
        </w:rPr>
        <w:t xml:space="preserve">                   合同编号：</w:t>
      </w:r>
    </w:p>
    <w:p>
      <w:pPr>
        <w:rPr>
          <w:rFonts w:ascii="楷体" w:hAnsi="楷体" w:eastAsia="楷体"/>
          <w:sz w:val="21"/>
          <w:szCs w:val="21"/>
        </w:rPr>
      </w:pPr>
      <w:r>
        <w:rPr>
          <w:rFonts w:hint="eastAsia" w:ascii="楷体" w:hAnsi="楷体" w:eastAsia="楷体"/>
          <w:sz w:val="21"/>
          <w:szCs w:val="21"/>
        </w:rPr>
        <w:t xml:space="preserve">                                                        签订时间:</w:t>
      </w:r>
    </w:p>
    <w:p>
      <w:pPr>
        <w:ind w:firstLine="5880" w:firstLineChars="2800"/>
        <w:rPr>
          <w:rFonts w:hint="eastAsia" w:ascii="楷体" w:hAnsi="楷体" w:eastAsia="楷体"/>
          <w:sz w:val="21"/>
          <w:szCs w:val="21"/>
          <w:lang w:val="en-US" w:eastAsia="zh-CN"/>
        </w:rPr>
      </w:pPr>
      <w:r>
        <w:rPr>
          <w:rFonts w:hint="eastAsia" w:ascii="楷体" w:hAnsi="楷体" w:eastAsia="楷体"/>
          <w:sz w:val="21"/>
          <w:szCs w:val="21"/>
        </w:rPr>
        <w:t>签订地点：</w:t>
      </w:r>
      <w:r>
        <w:rPr>
          <w:rFonts w:hint="eastAsia" w:ascii="楷体" w:hAnsi="楷体" w:eastAsia="楷体"/>
          <w:sz w:val="21"/>
          <w:szCs w:val="21"/>
          <w:lang w:eastAsia="zh-CN"/>
        </w:rPr>
        <w:t>广西钦州保税港</w:t>
      </w:r>
    </w:p>
    <w:p>
      <w:pPr>
        <w:rPr>
          <w:rFonts w:ascii="楷体" w:hAnsi="楷体" w:eastAsia="楷体"/>
          <w:b/>
          <w:sz w:val="18"/>
          <w:szCs w:val="18"/>
        </w:rPr>
      </w:pPr>
      <w:r>
        <w:rPr>
          <w:rFonts w:ascii="楷体" w:hAnsi="楷体" w:eastAsia="楷体"/>
          <w:b/>
          <w:sz w:val="18"/>
          <w:szCs w:val="18"/>
        </w:rPr>
        <w:t xml:space="preserve">                                                          </w:t>
      </w:r>
    </w:p>
    <w:p>
      <w:pPr>
        <w:rPr>
          <w:rFonts w:hint="eastAsia" w:ascii="楷体" w:hAnsi="楷体" w:eastAsia="楷体" w:cs="Times New Roman"/>
          <w:sz w:val="24"/>
          <w:szCs w:val="24"/>
        </w:rPr>
      </w:pPr>
      <w:r>
        <w:rPr>
          <w:rFonts w:hint="eastAsia" w:ascii="楷体" w:hAnsi="楷体" w:eastAsia="楷体" w:cs="Times New Roman"/>
          <w:b/>
          <w:bCs/>
          <w:sz w:val="24"/>
          <w:szCs w:val="24"/>
        </w:rPr>
        <w:t xml:space="preserve">购货方(甲方): </w:t>
      </w:r>
    </w:p>
    <w:p>
      <w:pPr>
        <w:rPr>
          <w:rFonts w:hint="eastAsia" w:ascii="楷体" w:hAnsi="楷体" w:eastAsia="楷体" w:cs="Times New Roman"/>
          <w:color w:val="FF0000"/>
          <w:sz w:val="24"/>
          <w:szCs w:val="24"/>
        </w:rPr>
      </w:pPr>
      <w:r>
        <w:rPr>
          <w:rFonts w:hint="eastAsia" w:ascii="楷体" w:hAnsi="楷体" w:eastAsia="楷体" w:cs="Times New Roman"/>
          <w:sz w:val="24"/>
          <w:szCs w:val="24"/>
        </w:rPr>
        <w:t>联系地址：</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rPr>
        <w:t>联系人：</w:t>
      </w:r>
      <w:r>
        <w:rPr>
          <w:rFonts w:hint="eastAsia" w:ascii="楷体" w:hAnsi="楷体" w:eastAsia="楷体" w:cs="Times New Roman"/>
          <w:sz w:val="24"/>
          <w:szCs w:val="24"/>
          <w:lang w:val="en-US" w:eastAsia="zh-CN"/>
        </w:rPr>
        <w:t xml:space="preserve"> </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rPr>
        <w:t>联系电话：</w:t>
      </w:r>
      <w:r>
        <w:rPr>
          <w:rFonts w:hint="eastAsia" w:ascii="楷体" w:hAnsi="楷体" w:eastAsia="楷体" w:cs="Times New Roman"/>
          <w:sz w:val="24"/>
          <w:szCs w:val="24"/>
          <w:lang w:val="en-US" w:eastAsia="zh-CN"/>
        </w:rPr>
        <w:t xml:space="preserve"> </w:t>
      </w:r>
    </w:p>
    <w:p>
      <w:pPr>
        <w:rPr>
          <w:rFonts w:ascii="楷体" w:hAnsi="楷体" w:eastAsia="楷体"/>
          <w:sz w:val="24"/>
          <w:szCs w:val="24"/>
        </w:rPr>
      </w:pPr>
      <w:r>
        <w:rPr>
          <w:rFonts w:ascii="楷体" w:hAnsi="楷体" w:eastAsia="楷体"/>
          <w:sz w:val="24"/>
          <w:szCs w:val="24"/>
        </w:rPr>
        <w:t xml:space="preserve">                    </w:t>
      </w:r>
    </w:p>
    <w:p>
      <w:pPr>
        <w:rPr>
          <w:rFonts w:ascii="楷体" w:hAnsi="楷体" w:eastAsia="楷体"/>
          <w:sz w:val="24"/>
          <w:szCs w:val="24"/>
        </w:rPr>
      </w:pPr>
      <w:bookmarkStart w:id="24" w:name="OLE_LINK3"/>
      <w:bookmarkStart w:id="25" w:name="OLE_LINK4"/>
    </w:p>
    <w:p>
      <w:pPr>
        <w:rPr>
          <w:rFonts w:ascii="楷体" w:hAnsi="楷体" w:eastAsia="楷体"/>
          <w:b/>
          <w:bCs/>
          <w:sz w:val="24"/>
          <w:szCs w:val="24"/>
        </w:rPr>
      </w:pPr>
      <w:r>
        <w:rPr>
          <w:rFonts w:hint="eastAsia" w:ascii="楷体" w:hAnsi="楷体" w:eastAsia="楷体"/>
          <w:b/>
          <w:sz w:val="24"/>
          <w:szCs w:val="24"/>
        </w:rPr>
        <w:t>供货方</w:t>
      </w:r>
      <w:bookmarkEnd w:id="24"/>
      <w:bookmarkEnd w:id="25"/>
      <w:r>
        <w:rPr>
          <w:rFonts w:ascii="楷体" w:hAnsi="楷体" w:eastAsia="楷体"/>
          <w:b/>
          <w:sz w:val="24"/>
          <w:szCs w:val="24"/>
        </w:rPr>
        <w:t>(</w:t>
      </w:r>
      <w:r>
        <w:rPr>
          <w:rFonts w:hint="eastAsia" w:ascii="楷体" w:hAnsi="楷体" w:eastAsia="楷体"/>
          <w:b/>
          <w:sz w:val="24"/>
          <w:szCs w:val="24"/>
        </w:rPr>
        <w:t>乙方</w:t>
      </w:r>
      <w:r>
        <w:rPr>
          <w:rFonts w:ascii="楷体" w:hAnsi="楷体" w:eastAsia="楷体"/>
          <w:b/>
          <w:sz w:val="24"/>
          <w:szCs w:val="24"/>
        </w:rPr>
        <w:t>):</w:t>
      </w:r>
      <w:r>
        <w:rPr>
          <w:rFonts w:hint="eastAsia" w:ascii="Times New Roman" w:hAnsi="Times New Roman" w:eastAsia="楷体"/>
          <w:sz w:val="18"/>
          <w:szCs w:val="18"/>
        </w:rPr>
        <w:t xml:space="preserve"> </w:t>
      </w:r>
      <w:r>
        <w:rPr>
          <w:rFonts w:hint="eastAsia" w:ascii="楷体" w:hAnsi="楷体" w:eastAsia="楷体"/>
          <w:b/>
          <w:bCs/>
          <w:sz w:val="24"/>
          <w:szCs w:val="24"/>
        </w:rPr>
        <w:t xml:space="preserve"> </w:t>
      </w:r>
    </w:p>
    <w:p>
      <w:pPr>
        <w:rPr>
          <w:rFonts w:hint="eastAsia" w:ascii="楷体" w:hAnsi="楷体" w:eastAsia="楷体"/>
          <w:sz w:val="24"/>
          <w:szCs w:val="24"/>
        </w:rPr>
      </w:pPr>
      <w:r>
        <w:rPr>
          <w:rFonts w:hint="eastAsia" w:ascii="楷体" w:hAnsi="楷体" w:eastAsia="楷体"/>
          <w:sz w:val="24"/>
          <w:szCs w:val="24"/>
        </w:rPr>
        <w:t>联系地址：</w:t>
      </w:r>
    </w:p>
    <w:p>
      <w:pPr>
        <w:rPr>
          <w:rFonts w:hint="eastAsia" w:ascii="楷体" w:hAnsi="楷体" w:eastAsia="楷体"/>
          <w:sz w:val="24"/>
          <w:szCs w:val="24"/>
          <w:lang w:eastAsia="zh-CN"/>
        </w:rPr>
      </w:pPr>
      <w:r>
        <w:rPr>
          <w:rFonts w:hint="eastAsia" w:ascii="楷体" w:hAnsi="楷体" w:eastAsia="楷体"/>
          <w:sz w:val="24"/>
          <w:szCs w:val="24"/>
        </w:rPr>
        <w:t>联系人</w:t>
      </w:r>
      <w:r>
        <w:rPr>
          <w:rFonts w:ascii="楷体" w:hAnsi="楷体" w:eastAsia="楷体"/>
          <w:sz w:val="24"/>
          <w:szCs w:val="24"/>
        </w:rPr>
        <w:t xml:space="preserve">： </w:t>
      </w:r>
    </w:p>
    <w:p>
      <w:pPr>
        <w:rPr>
          <w:rFonts w:hint="default" w:ascii="楷体" w:hAnsi="楷体" w:eastAsia="楷体"/>
          <w:sz w:val="24"/>
          <w:szCs w:val="24"/>
          <w:lang w:val="en-US" w:eastAsia="zh-CN"/>
        </w:rPr>
      </w:pPr>
      <w:r>
        <w:rPr>
          <w:rFonts w:hint="eastAsia" w:ascii="楷体" w:hAnsi="楷体" w:eastAsia="楷体"/>
          <w:sz w:val="24"/>
          <w:szCs w:val="24"/>
        </w:rPr>
        <w:t>联系电话：</w:t>
      </w:r>
    </w:p>
    <w:p>
      <w:pPr>
        <w:rPr>
          <w:rFonts w:ascii="Times New Roman" w:hAnsi="Times New Roman" w:eastAsia="楷体"/>
          <w:sz w:val="21"/>
          <w:szCs w:val="21"/>
        </w:rPr>
      </w:pPr>
      <w:r>
        <w:rPr>
          <w:rFonts w:ascii="Times New Roman" w:hAnsi="Times New Roman" w:eastAsia="楷体"/>
          <w:sz w:val="21"/>
          <w:szCs w:val="21"/>
        </w:rPr>
        <w:t>甲、乙双方经友好协商，根据《中华人民共和国</w:t>
      </w:r>
      <w:r>
        <w:rPr>
          <w:rFonts w:hint="eastAsia" w:ascii="Times New Roman" w:hAnsi="Times New Roman" w:eastAsia="楷体"/>
          <w:sz w:val="21"/>
          <w:szCs w:val="21"/>
        </w:rPr>
        <w:t>民法典</w:t>
      </w:r>
      <w:r>
        <w:rPr>
          <w:rFonts w:ascii="Times New Roman" w:hAnsi="Times New Roman" w:eastAsia="楷体"/>
          <w:sz w:val="21"/>
          <w:szCs w:val="21"/>
        </w:rPr>
        <w:t>》及相关法律规定，本着平等互利、协商一致的原则，就甲方向乙方进行</w:t>
      </w:r>
      <w:r>
        <w:rPr>
          <w:rFonts w:ascii="Times New Roman" w:hAnsi="Times New Roman" w:eastAsia="楷体"/>
          <w:sz w:val="21"/>
          <w:szCs w:val="21"/>
          <w:u w:val="single"/>
        </w:rPr>
        <w:t xml:space="preserve">      </w:t>
      </w:r>
      <w:r>
        <w:rPr>
          <w:rFonts w:ascii="Times New Roman" w:hAnsi="Times New Roman" w:eastAsia="楷体"/>
          <w:sz w:val="21"/>
          <w:szCs w:val="21"/>
        </w:rPr>
        <w:t>采购相关事宜达成一致后签署本合同。</w:t>
      </w:r>
    </w:p>
    <w:p>
      <w:pPr>
        <w:pStyle w:val="31"/>
        <w:numPr>
          <w:ilvl w:val="0"/>
          <w:numId w:val="3"/>
        </w:numPr>
        <w:ind w:firstLineChars="0"/>
        <w:rPr>
          <w:rFonts w:ascii="Times New Roman" w:hAnsi="Times New Roman" w:eastAsia="楷体"/>
          <w:b/>
          <w:sz w:val="21"/>
          <w:szCs w:val="21"/>
        </w:rPr>
      </w:pPr>
      <w:r>
        <w:rPr>
          <w:rFonts w:ascii="Times New Roman" w:hAnsi="Times New Roman" w:eastAsia="楷体"/>
          <w:b/>
          <w:sz w:val="21"/>
          <w:szCs w:val="21"/>
        </w:rPr>
        <w:t xml:space="preserve"> 产品名称．型号．数量．金额（含税</w:t>
      </w:r>
      <w:r>
        <w:rPr>
          <w:rFonts w:hint="eastAsia" w:ascii="Times New Roman" w:hAnsi="Times New Roman" w:eastAsia="楷体"/>
          <w:b/>
          <w:sz w:val="21"/>
          <w:szCs w:val="21"/>
        </w:rPr>
        <w:t>，税率</w:t>
      </w:r>
      <w:r>
        <w:rPr>
          <w:rFonts w:hint="eastAsia" w:ascii="Times New Roman" w:hAnsi="Times New Roman" w:eastAsia="楷体"/>
          <w:b/>
          <w:sz w:val="21"/>
          <w:szCs w:val="21"/>
          <w:lang w:eastAsia="zh-CN"/>
        </w:rPr>
        <w:t>【】</w:t>
      </w:r>
      <w:r>
        <w:rPr>
          <w:rFonts w:ascii="Times New Roman" w:hAnsi="Times New Roman" w:eastAsia="楷体"/>
          <w:b/>
          <w:sz w:val="21"/>
          <w:szCs w:val="21"/>
        </w:rPr>
        <w:t>）．</w:t>
      </w:r>
      <w:r>
        <w:rPr>
          <w:rFonts w:hint="eastAsia" w:ascii="Times New Roman" w:hAnsi="Times New Roman" w:eastAsia="楷体"/>
          <w:b/>
          <w:sz w:val="21"/>
          <w:szCs w:val="21"/>
        </w:rPr>
        <w:t>供货时间</w:t>
      </w:r>
    </w:p>
    <w:tbl>
      <w:tblPr>
        <w:tblStyle w:val="2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590"/>
        <w:gridCol w:w="709"/>
        <w:gridCol w:w="567"/>
        <w:gridCol w:w="1276"/>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496" w:type="dxa"/>
            <w:vAlign w:val="center"/>
          </w:tcPr>
          <w:p>
            <w:pPr>
              <w:snapToGrid w:val="0"/>
              <w:spacing w:line="360" w:lineRule="exact"/>
              <w:jc w:val="center"/>
              <w:rPr>
                <w:rFonts w:ascii="宋体" w:hAnsi="宋体"/>
                <w:sz w:val="21"/>
                <w:szCs w:val="21"/>
              </w:rPr>
            </w:pPr>
            <w:r>
              <w:rPr>
                <w:rFonts w:hint="eastAsia" w:ascii="宋体" w:hAnsi="宋体"/>
                <w:sz w:val="21"/>
                <w:szCs w:val="21"/>
              </w:rPr>
              <w:t>序号</w:t>
            </w:r>
          </w:p>
        </w:tc>
        <w:tc>
          <w:tcPr>
            <w:tcW w:w="1304" w:type="dxa"/>
            <w:vAlign w:val="center"/>
          </w:tcPr>
          <w:p>
            <w:pPr>
              <w:snapToGrid w:val="0"/>
              <w:spacing w:line="360" w:lineRule="exact"/>
              <w:jc w:val="center"/>
              <w:rPr>
                <w:rFonts w:ascii="宋体" w:hAnsi="宋体"/>
                <w:sz w:val="21"/>
                <w:szCs w:val="21"/>
              </w:rPr>
            </w:pPr>
            <w:r>
              <w:rPr>
                <w:rFonts w:hint="eastAsia" w:ascii="宋体" w:hAnsi="宋体"/>
                <w:sz w:val="21"/>
                <w:szCs w:val="21"/>
              </w:rPr>
              <w:t>产品</w:t>
            </w:r>
          </w:p>
          <w:p>
            <w:pPr>
              <w:snapToGrid w:val="0"/>
              <w:spacing w:line="360" w:lineRule="exact"/>
              <w:jc w:val="center"/>
              <w:rPr>
                <w:rFonts w:ascii="宋体" w:hAnsi="宋体"/>
                <w:sz w:val="21"/>
                <w:szCs w:val="21"/>
              </w:rPr>
            </w:pPr>
            <w:r>
              <w:rPr>
                <w:rFonts w:hint="eastAsia" w:ascii="宋体" w:hAnsi="宋体"/>
                <w:sz w:val="21"/>
                <w:szCs w:val="21"/>
              </w:rPr>
              <w:t>名称</w:t>
            </w:r>
          </w:p>
        </w:tc>
        <w:tc>
          <w:tcPr>
            <w:tcW w:w="1081" w:type="dxa"/>
            <w:vAlign w:val="center"/>
          </w:tcPr>
          <w:p>
            <w:pPr>
              <w:snapToGrid w:val="0"/>
              <w:spacing w:line="360" w:lineRule="exact"/>
              <w:jc w:val="center"/>
              <w:rPr>
                <w:rFonts w:ascii="宋体" w:hAnsi="宋体"/>
                <w:sz w:val="21"/>
                <w:szCs w:val="21"/>
              </w:rPr>
            </w:pPr>
            <w:r>
              <w:rPr>
                <w:rFonts w:hint="eastAsia" w:ascii="宋体" w:hAnsi="宋体"/>
                <w:sz w:val="21"/>
                <w:szCs w:val="21"/>
              </w:rPr>
              <w:t>商标</w:t>
            </w:r>
          </w:p>
          <w:p>
            <w:pPr>
              <w:snapToGrid w:val="0"/>
              <w:spacing w:line="360" w:lineRule="exact"/>
              <w:jc w:val="center"/>
              <w:rPr>
                <w:rFonts w:ascii="宋体" w:hAnsi="宋体"/>
                <w:sz w:val="21"/>
                <w:szCs w:val="21"/>
              </w:rPr>
            </w:pPr>
            <w:r>
              <w:rPr>
                <w:rFonts w:hint="eastAsia" w:ascii="宋体" w:hAnsi="宋体"/>
                <w:sz w:val="21"/>
                <w:szCs w:val="21"/>
              </w:rPr>
              <w:t>品牌</w:t>
            </w:r>
          </w:p>
        </w:tc>
        <w:tc>
          <w:tcPr>
            <w:tcW w:w="1194" w:type="dxa"/>
            <w:vAlign w:val="center"/>
          </w:tcPr>
          <w:p>
            <w:pPr>
              <w:snapToGrid w:val="0"/>
              <w:spacing w:line="360" w:lineRule="exact"/>
              <w:jc w:val="center"/>
              <w:rPr>
                <w:rFonts w:ascii="宋体" w:hAnsi="宋体"/>
                <w:sz w:val="21"/>
                <w:szCs w:val="21"/>
              </w:rPr>
            </w:pPr>
            <w:r>
              <w:rPr>
                <w:rFonts w:hint="eastAsia" w:ascii="宋体" w:hAnsi="宋体"/>
                <w:sz w:val="21"/>
                <w:szCs w:val="21"/>
              </w:rPr>
              <w:t>规格</w:t>
            </w:r>
          </w:p>
          <w:p>
            <w:pPr>
              <w:snapToGrid w:val="0"/>
              <w:spacing w:line="360" w:lineRule="exact"/>
              <w:jc w:val="center"/>
              <w:rPr>
                <w:rFonts w:ascii="宋体" w:hAnsi="宋体"/>
                <w:sz w:val="21"/>
                <w:szCs w:val="21"/>
              </w:rPr>
            </w:pPr>
            <w:r>
              <w:rPr>
                <w:rFonts w:hint="eastAsia" w:ascii="宋体" w:hAnsi="宋体"/>
                <w:sz w:val="21"/>
                <w:szCs w:val="21"/>
              </w:rPr>
              <w:t>型号</w:t>
            </w:r>
          </w:p>
        </w:tc>
        <w:tc>
          <w:tcPr>
            <w:tcW w:w="1590" w:type="dxa"/>
            <w:vAlign w:val="center"/>
          </w:tcPr>
          <w:p>
            <w:pPr>
              <w:snapToGrid w:val="0"/>
              <w:spacing w:line="360" w:lineRule="exact"/>
              <w:jc w:val="center"/>
              <w:rPr>
                <w:rFonts w:ascii="宋体" w:hAnsi="宋体"/>
                <w:sz w:val="21"/>
                <w:szCs w:val="21"/>
              </w:rPr>
            </w:pPr>
            <w:r>
              <w:rPr>
                <w:rFonts w:hint="eastAsia" w:ascii="宋体" w:hAnsi="宋体"/>
                <w:sz w:val="21"/>
                <w:szCs w:val="21"/>
              </w:rPr>
              <w:t>生产</w:t>
            </w:r>
          </w:p>
          <w:p>
            <w:pPr>
              <w:snapToGrid w:val="0"/>
              <w:spacing w:line="360" w:lineRule="exact"/>
              <w:jc w:val="center"/>
              <w:rPr>
                <w:rFonts w:ascii="宋体" w:hAnsi="宋体"/>
                <w:sz w:val="21"/>
                <w:szCs w:val="21"/>
              </w:rPr>
            </w:pPr>
            <w:r>
              <w:rPr>
                <w:rFonts w:hint="eastAsia" w:ascii="宋体" w:hAnsi="宋体"/>
                <w:sz w:val="21"/>
                <w:szCs w:val="21"/>
              </w:rPr>
              <w:t>厂家</w:t>
            </w:r>
          </w:p>
        </w:tc>
        <w:tc>
          <w:tcPr>
            <w:tcW w:w="709" w:type="dxa"/>
            <w:vAlign w:val="center"/>
          </w:tcPr>
          <w:p>
            <w:pPr>
              <w:snapToGrid w:val="0"/>
              <w:spacing w:line="360" w:lineRule="exact"/>
              <w:jc w:val="center"/>
              <w:rPr>
                <w:rFonts w:ascii="宋体" w:hAnsi="宋体"/>
                <w:sz w:val="21"/>
                <w:szCs w:val="21"/>
              </w:rPr>
            </w:pPr>
            <w:r>
              <w:rPr>
                <w:rFonts w:hint="eastAsia" w:ascii="宋体" w:hAnsi="宋体"/>
                <w:sz w:val="21"/>
                <w:szCs w:val="21"/>
              </w:rPr>
              <w:t>数  量</w:t>
            </w:r>
          </w:p>
        </w:tc>
        <w:tc>
          <w:tcPr>
            <w:tcW w:w="567" w:type="dxa"/>
            <w:vAlign w:val="center"/>
          </w:tcPr>
          <w:p>
            <w:pPr>
              <w:snapToGrid w:val="0"/>
              <w:spacing w:line="360" w:lineRule="exact"/>
              <w:jc w:val="center"/>
              <w:rPr>
                <w:rFonts w:ascii="宋体" w:hAnsi="宋体"/>
                <w:sz w:val="21"/>
                <w:szCs w:val="21"/>
              </w:rPr>
            </w:pPr>
            <w:r>
              <w:rPr>
                <w:rFonts w:hint="eastAsia" w:ascii="宋体" w:hAnsi="宋体"/>
                <w:sz w:val="21"/>
                <w:szCs w:val="21"/>
              </w:rPr>
              <w:t>单位</w:t>
            </w:r>
          </w:p>
        </w:tc>
        <w:tc>
          <w:tcPr>
            <w:tcW w:w="1276" w:type="dxa"/>
            <w:vAlign w:val="center"/>
          </w:tcPr>
          <w:p>
            <w:pPr>
              <w:snapToGrid w:val="0"/>
              <w:spacing w:line="360" w:lineRule="exact"/>
              <w:jc w:val="center"/>
              <w:rPr>
                <w:rFonts w:ascii="宋体" w:hAnsi="宋体"/>
                <w:sz w:val="21"/>
                <w:szCs w:val="21"/>
              </w:rPr>
            </w:pPr>
            <w:r>
              <w:rPr>
                <w:rFonts w:hint="eastAsia" w:ascii="宋体" w:hAnsi="宋体"/>
                <w:sz w:val="21"/>
                <w:szCs w:val="21"/>
              </w:rPr>
              <w:t>单  价</w:t>
            </w:r>
          </w:p>
          <w:p>
            <w:pPr>
              <w:snapToGrid w:val="0"/>
              <w:spacing w:line="360" w:lineRule="exact"/>
              <w:jc w:val="center"/>
              <w:rPr>
                <w:rFonts w:ascii="宋体" w:hAnsi="宋体"/>
                <w:sz w:val="21"/>
                <w:szCs w:val="21"/>
              </w:rPr>
            </w:pPr>
            <w:r>
              <w:rPr>
                <w:rFonts w:hint="eastAsia" w:ascii="宋体" w:hAnsi="宋体"/>
                <w:sz w:val="21"/>
                <w:szCs w:val="21"/>
              </w:rPr>
              <w:t>（元）</w:t>
            </w:r>
          </w:p>
        </w:tc>
        <w:tc>
          <w:tcPr>
            <w:tcW w:w="1323" w:type="dxa"/>
            <w:vAlign w:val="center"/>
          </w:tcPr>
          <w:p>
            <w:pPr>
              <w:snapToGrid w:val="0"/>
              <w:spacing w:line="360" w:lineRule="exact"/>
              <w:jc w:val="center"/>
              <w:rPr>
                <w:rFonts w:ascii="宋体" w:hAnsi="宋体"/>
                <w:sz w:val="21"/>
                <w:szCs w:val="21"/>
              </w:rPr>
            </w:pPr>
            <w:r>
              <w:rPr>
                <w:rFonts w:hint="eastAsia" w:ascii="宋体" w:hAnsi="宋体"/>
                <w:sz w:val="21"/>
                <w:szCs w:val="21"/>
              </w:rPr>
              <w:t>金  额</w:t>
            </w:r>
          </w:p>
          <w:p>
            <w:pPr>
              <w:snapToGrid w:val="0"/>
              <w:spacing w:line="360" w:lineRule="exact"/>
              <w:jc w:val="center"/>
              <w:rPr>
                <w:rFonts w:ascii="宋体" w:hAnsi="宋体"/>
                <w:sz w:val="21"/>
                <w:szCs w:val="21"/>
              </w:rPr>
            </w:pPr>
            <w:r>
              <w:rPr>
                <w:rFonts w:hint="eastAsia" w:ascii="宋体" w:hAnsi="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40" w:type="dxa"/>
            <w:gridSpan w:val="9"/>
            <w:vAlign w:val="center"/>
          </w:tcPr>
          <w:p>
            <w:pPr>
              <w:rPr>
                <w:rFonts w:ascii="宋体" w:hAnsi="宋体"/>
                <w:sz w:val="21"/>
                <w:szCs w:val="21"/>
              </w:rPr>
            </w:pPr>
            <w:r>
              <w:rPr>
                <w:rFonts w:hint="eastAsia" w:ascii="宋体" w:hAnsi="宋体" w:cs="宋体"/>
                <w:b/>
                <w:sz w:val="21"/>
                <w:szCs w:val="21"/>
              </w:rPr>
              <w:t>(详见合同附件—：</w:t>
            </w:r>
            <w:r>
              <w:rPr>
                <w:rFonts w:hint="eastAsia" w:ascii="宋体" w:hAnsi="宋体"/>
                <w:b/>
                <w:sz w:val="21"/>
                <w:szCs w:val="21"/>
              </w:rPr>
              <w:t>供货清单及参数表</w:t>
            </w:r>
            <w:r>
              <w:rPr>
                <w:rFonts w:hint="eastAsia" w:ascii="宋体" w:hAnsi="宋体" w:cs="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540" w:type="dxa"/>
            <w:gridSpan w:val="9"/>
          </w:tcPr>
          <w:p>
            <w:pPr>
              <w:snapToGrid w:val="0"/>
              <w:spacing w:line="360" w:lineRule="exact"/>
              <w:jc w:val="left"/>
              <w:rPr>
                <w:rFonts w:hint="eastAsia" w:ascii="宋体" w:hAnsi="宋体" w:eastAsia="宋体" w:cs="宋体"/>
                <w:sz w:val="21"/>
                <w:szCs w:val="21"/>
                <w:u w:val="single"/>
              </w:rPr>
            </w:pPr>
            <w:r>
              <w:rPr>
                <w:rFonts w:hint="eastAsia" w:ascii="宋体" w:hAnsi="宋体" w:eastAsia="宋体" w:cs="宋体"/>
                <w:color w:val="auto"/>
                <w:sz w:val="21"/>
                <w:szCs w:val="21"/>
                <w:u w:val="single"/>
              </w:rPr>
              <w:t>本合同不含税金额为</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元，税额为</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元,合计含税总金额（大写）：</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人民币（小写）：</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元 </w:t>
            </w:r>
          </w:p>
        </w:tc>
      </w:tr>
    </w:tbl>
    <w:p>
      <w:pPr>
        <w:ind w:firstLine="420" w:firstLineChars="200"/>
        <w:rPr>
          <w:rFonts w:hint="eastAsia" w:ascii="Times New Roman" w:hAnsi="Times New Roman" w:eastAsia="楷体"/>
          <w:bCs/>
          <w:sz w:val="21"/>
          <w:szCs w:val="21"/>
          <w:lang w:val="en-US" w:eastAsia="zh-CN"/>
        </w:rPr>
      </w:pPr>
      <w:r>
        <w:rPr>
          <w:rFonts w:ascii="Times New Roman" w:hAnsi="Times New Roman" w:eastAsia="楷体"/>
          <w:sz w:val="21"/>
          <w:szCs w:val="21"/>
        </w:rPr>
        <w:t>*以上合同总价包括但不限于购买产品的价格、产品的包装价格、产品的运输价格、产品保质、售后服务、</w:t>
      </w:r>
      <w:r>
        <w:rPr>
          <w:rFonts w:hint="eastAsia" w:ascii="Times New Roman" w:hAnsi="Times New Roman" w:eastAsia="楷体"/>
          <w:sz w:val="21"/>
          <w:szCs w:val="21"/>
        </w:rPr>
        <w:t>保险、</w:t>
      </w:r>
      <w:r>
        <w:rPr>
          <w:rFonts w:ascii="Times New Roman" w:hAnsi="Times New Roman" w:eastAsia="楷体"/>
          <w:sz w:val="21"/>
          <w:szCs w:val="21"/>
        </w:rPr>
        <w:t>税费等所有费用。除此价格之外，甲方无须支付乙方其它任何款项。</w:t>
      </w:r>
      <w:r>
        <w:rPr>
          <w:rFonts w:ascii="Times New Roman" w:hAnsi="Times New Roman" w:eastAsia="楷体"/>
          <w:bCs/>
          <w:sz w:val="21"/>
          <w:szCs w:val="21"/>
        </w:rPr>
        <w:t>乙方应向甲方开具正式的</w:t>
      </w:r>
      <w:r>
        <w:rPr>
          <w:rFonts w:hint="eastAsia" w:ascii="Times New Roman" w:hAnsi="Times New Roman" w:eastAsia="楷体"/>
          <w:bCs/>
          <w:sz w:val="21"/>
          <w:szCs w:val="21"/>
          <w:lang w:val="en-US" w:eastAsia="zh-CN"/>
        </w:rPr>
        <w:t>【】</w:t>
      </w:r>
      <w:r>
        <w:rPr>
          <w:rFonts w:ascii="Times New Roman" w:hAnsi="Times New Roman" w:eastAsia="楷体"/>
          <w:bCs/>
          <w:sz w:val="21"/>
          <w:szCs w:val="21"/>
        </w:rPr>
        <w:t>增值税专用发票，该发票必须提及本合同并提供甲方所要求的详细信息。</w:t>
      </w:r>
      <w:r>
        <w:rPr>
          <w:rFonts w:hint="eastAsia" w:ascii="Times New Roman" w:hAnsi="Times New Roman" w:eastAsia="楷体"/>
          <w:bCs/>
          <w:sz w:val="21"/>
          <w:szCs w:val="21"/>
        </w:rPr>
        <w:t>如招投标文件对其另有规定的，从其规定</w:t>
      </w:r>
    </w:p>
    <w:p>
      <w:pPr>
        <w:pStyle w:val="31"/>
        <w:numPr>
          <w:ilvl w:val="0"/>
          <w:numId w:val="3"/>
        </w:numPr>
        <w:ind w:firstLineChars="0"/>
        <w:rPr>
          <w:rFonts w:ascii="Times New Roman" w:hAnsi="Times New Roman" w:eastAsia="楷体"/>
          <w:b/>
          <w:sz w:val="21"/>
          <w:szCs w:val="21"/>
        </w:rPr>
      </w:pPr>
      <w:r>
        <w:rPr>
          <w:rFonts w:ascii="Times New Roman" w:hAnsi="Times New Roman" w:eastAsia="楷体"/>
          <w:b/>
          <w:sz w:val="21"/>
          <w:szCs w:val="21"/>
        </w:rPr>
        <w:t>产品质量和技术标准</w:t>
      </w:r>
    </w:p>
    <w:p>
      <w:pPr>
        <w:pStyle w:val="31"/>
        <w:numPr>
          <w:ilvl w:val="0"/>
          <w:numId w:val="4"/>
        </w:numPr>
        <w:ind w:left="0" w:firstLine="0" w:firstLineChars="0"/>
        <w:rPr>
          <w:rFonts w:ascii="Times New Roman" w:hAnsi="Times New Roman" w:eastAsia="楷体"/>
          <w:sz w:val="21"/>
          <w:szCs w:val="21"/>
        </w:rPr>
      </w:pPr>
      <w:r>
        <w:rPr>
          <w:rFonts w:ascii="Times New Roman" w:hAnsi="Times New Roman" w:eastAsia="楷体"/>
          <w:sz w:val="21"/>
          <w:szCs w:val="21"/>
        </w:rPr>
        <w:t>乙方应以样品（如有）、本合同的约定及有关产品质量和产品技术的国家标准和行业标准为标准提供产品。</w:t>
      </w:r>
    </w:p>
    <w:p>
      <w:pPr>
        <w:pStyle w:val="31"/>
        <w:numPr>
          <w:ilvl w:val="0"/>
          <w:numId w:val="4"/>
        </w:numPr>
        <w:ind w:left="0" w:firstLine="0" w:firstLineChars="0"/>
        <w:rPr>
          <w:rFonts w:ascii="Times New Roman" w:hAnsi="Times New Roman" w:eastAsia="楷体"/>
          <w:sz w:val="21"/>
          <w:szCs w:val="21"/>
        </w:rPr>
      </w:pPr>
      <w:r>
        <w:rPr>
          <w:rFonts w:hint="eastAsia" w:ascii="Times New Roman" w:hAnsi="Times New Roman" w:eastAsia="楷体"/>
          <w:szCs w:val="21"/>
        </w:rPr>
        <w:t>乙方所提供的货物型号、技术规格、技术参数等质量必须与招、投标文件和承诺相一致。</w:t>
      </w:r>
    </w:p>
    <w:p>
      <w:pPr>
        <w:pStyle w:val="31"/>
        <w:numPr>
          <w:ilvl w:val="0"/>
          <w:numId w:val="4"/>
        </w:numPr>
        <w:ind w:left="0" w:firstLine="0" w:firstLineChars="0"/>
        <w:rPr>
          <w:rFonts w:ascii="Times New Roman" w:hAnsi="Times New Roman" w:eastAsia="楷体"/>
          <w:sz w:val="21"/>
          <w:szCs w:val="21"/>
        </w:rPr>
      </w:pPr>
      <w:r>
        <w:rPr>
          <w:rFonts w:ascii="Times New Roman" w:hAnsi="Times New Roman" w:eastAsia="楷体"/>
          <w:sz w:val="21"/>
          <w:szCs w:val="21"/>
        </w:rPr>
        <w:t>乙方保证提供的产品符合中华人民共和国国家及行业的安全质量标准，上述标准为已发布的且在产品交付时有效的最新版本的标准。</w:t>
      </w:r>
    </w:p>
    <w:p>
      <w:pPr>
        <w:pStyle w:val="31"/>
        <w:numPr>
          <w:ilvl w:val="0"/>
          <w:numId w:val="4"/>
        </w:numPr>
        <w:ind w:left="0" w:firstLine="0" w:firstLineChars="0"/>
        <w:rPr>
          <w:rFonts w:ascii="Times New Roman" w:hAnsi="Times New Roman" w:eastAsia="楷体"/>
          <w:sz w:val="21"/>
          <w:szCs w:val="21"/>
        </w:rPr>
      </w:pPr>
      <w:r>
        <w:rPr>
          <w:rFonts w:ascii="Times New Roman" w:hAnsi="Times New Roman" w:eastAsia="楷体"/>
          <w:sz w:val="21"/>
          <w:szCs w:val="21"/>
        </w:rPr>
        <w:t>乙方保证提供给甲方的产品是产品生产厂商原造的，全新、未使用过的，使用一流的工艺和优质材料制造而成的，并完全符合甲方的各项使用目的或在采购时提出的各项要求。</w:t>
      </w:r>
    </w:p>
    <w:p>
      <w:pPr>
        <w:pStyle w:val="31"/>
        <w:numPr>
          <w:ilvl w:val="0"/>
          <w:numId w:val="4"/>
        </w:numPr>
        <w:ind w:left="0" w:firstLine="0" w:firstLineChars="0"/>
        <w:rPr>
          <w:rFonts w:ascii="Times New Roman" w:hAnsi="Times New Roman" w:eastAsia="楷体"/>
          <w:sz w:val="21"/>
          <w:szCs w:val="21"/>
        </w:rPr>
      </w:pPr>
      <w:r>
        <w:rPr>
          <w:rFonts w:ascii="Times New Roman" w:hAnsi="Times New Roman" w:eastAsia="楷体"/>
          <w:sz w:val="21"/>
          <w:szCs w:val="21"/>
        </w:rPr>
        <w:t>乙方保证提供给甲方的产品符合中华人民共和国相关法律的规定，没有侵犯任何第三方的专利权、商标权、商业秘密、技术秘密等（“知识产权”），如有任何侵犯第三方知识产权的行为发生，乙方应赔偿甲方所遭受的一切损失、损害赔偿、索赔、要求、</w:t>
      </w:r>
      <w:r>
        <w:rPr>
          <w:rFonts w:hint="eastAsia" w:ascii="Times New Roman" w:hAnsi="Times New Roman" w:eastAsia="楷体"/>
          <w:sz w:val="21"/>
          <w:szCs w:val="21"/>
        </w:rPr>
        <w:t>诉讼费、律师费、保全费、保全保险费、交通费、差旅费、鉴定费</w:t>
      </w:r>
      <w:r>
        <w:rPr>
          <w:rFonts w:ascii="Times New Roman" w:hAnsi="Times New Roman" w:eastAsia="楷体"/>
          <w:sz w:val="21"/>
          <w:szCs w:val="21"/>
        </w:rPr>
        <w:t>以及任何性质的债务。并且，甲方有权选择：i) 由乙方自担费用，为甲方取得合法使用产品的权利，或者ii) 乙方向甲方双倍返还存在权利瑕疵的产品价款。</w:t>
      </w:r>
    </w:p>
    <w:p>
      <w:pPr>
        <w:pStyle w:val="31"/>
        <w:numPr>
          <w:ilvl w:val="0"/>
          <w:numId w:val="4"/>
        </w:numPr>
        <w:ind w:left="0" w:firstLine="0" w:firstLineChars="0"/>
        <w:rPr>
          <w:rFonts w:ascii="Times New Roman" w:hAnsi="Times New Roman" w:eastAsia="楷体"/>
          <w:sz w:val="21"/>
          <w:szCs w:val="21"/>
        </w:rPr>
      </w:pPr>
      <w:r>
        <w:rPr>
          <w:rFonts w:ascii="Times New Roman" w:hAnsi="Times New Roman" w:eastAsia="楷体"/>
          <w:sz w:val="21"/>
          <w:szCs w:val="21"/>
        </w:rPr>
        <w:t>乙方保证其具有完全、合法的权利将该等产品出售给甲方。如果乙方出售给甲方的产品存在任何权利瑕疵的，乙方应赔偿甲方所遭受的一切损失、损害赔偿、索赔、要求、</w:t>
      </w:r>
      <w:r>
        <w:rPr>
          <w:rFonts w:hint="eastAsia" w:ascii="Times New Roman" w:hAnsi="Times New Roman" w:eastAsia="楷体"/>
          <w:sz w:val="21"/>
          <w:szCs w:val="21"/>
        </w:rPr>
        <w:t>诉讼费、律师费、保全费、保全保险费、交通费、差旅费、鉴定费</w:t>
      </w:r>
      <w:r>
        <w:rPr>
          <w:rFonts w:ascii="Times New Roman" w:hAnsi="Times New Roman" w:eastAsia="楷体"/>
          <w:sz w:val="21"/>
          <w:szCs w:val="21"/>
        </w:rPr>
        <w:t>以及任何性质的债务。</w:t>
      </w:r>
    </w:p>
    <w:p>
      <w:pPr>
        <w:pStyle w:val="31"/>
        <w:numPr>
          <w:ilvl w:val="0"/>
          <w:numId w:val="3"/>
        </w:numPr>
        <w:ind w:firstLineChars="0"/>
        <w:rPr>
          <w:rFonts w:ascii="Times New Roman" w:hAnsi="Times New Roman" w:eastAsia="楷体"/>
          <w:b/>
          <w:sz w:val="21"/>
          <w:szCs w:val="21"/>
        </w:rPr>
      </w:pPr>
      <w:r>
        <w:rPr>
          <w:rFonts w:ascii="Times New Roman" w:hAnsi="Times New Roman" w:eastAsia="楷体"/>
          <w:b/>
          <w:sz w:val="21"/>
          <w:szCs w:val="21"/>
        </w:rPr>
        <w:t>产品交货时间方式及费用负担</w:t>
      </w:r>
    </w:p>
    <w:p>
      <w:pPr>
        <w:pStyle w:val="31"/>
        <w:numPr>
          <w:ilvl w:val="0"/>
          <w:numId w:val="5"/>
        </w:numPr>
        <w:ind w:left="0" w:firstLine="0" w:firstLineChars="0"/>
        <w:rPr>
          <w:rFonts w:ascii="Times New Roman" w:hAnsi="Times New Roman" w:eastAsia="楷体"/>
          <w:color w:val="auto"/>
          <w:sz w:val="21"/>
          <w:szCs w:val="21"/>
        </w:rPr>
      </w:pPr>
      <w:r>
        <w:rPr>
          <w:rFonts w:hint="eastAsia" w:ascii="Times New Roman" w:hAnsi="Times New Roman" w:eastAsia="楷体"/>
          <w:color w:val="auto"/>
          <w:sz w:val="21"/>
          <w:szCs w:val="21"/>
          <w:u w:val="single"/>
          <w:lang w:eastAsia="zh-CN"/>
        </w:rPr>
        <w:t>交货时间：</w:t>
      </w:r>
      <w:r>
        <w:rPr>
          <w:rFonts w:hint="eastAsia" w:ascii="Times New Roman" w:hAnsi="Times New Roman" w:eastAsia="楷体"/>
          <w:color w:val="auto"/>
          <w:sz w:val="21"/>
          <w:szCs w:val="21"/>
          <w:u w:val="single"/>
          <w:lang w:val="en-US" w:eastAsia="zh-CN"/>
        </w:rPr>
        <w:t xml:space="preserve">            </w:t>
      </w:r>
      <w:r>
        <w:rPr>
          <w:rFonts w:hint="eastAsia" w:ascii="Times New Roman" w:hAnsi="Times New Roman" w:eastAsia="楷体"/>
          <w:color w:val="auto"/>
          <w:sz w:val="21"/>
          <w:szCs w:val="21"/>
          <w:lang w:val="en-US" w:eastAsia="zh-CN"/>
        </w:rPr>
        <w:t>，</w:t>
      </w:r>
      <w:r>
        <w:rPr>
          <w:rFonts w:ascii="Times New Roman" w:hAnsi="Times New Roman" w:eastAsia="楷体"/>
          <w:color w:val="auto"/>
          <w:sz w:val="21"/>
          <w:szCs w:val="21"/>
        </w:rPr>
        <w:t>交货地点：</w:t>
      </w:r>
      <w:r>
        <w:rPr>
          <w:rFonts w:hint="eastAsia" w:ascii="Times New Roman" w:hAnsi="Times New Roman" w:eastAsia="楷体"/>
          <w:color w:val="auto"/>
          <w:szCs w:val="21"/>
        </w:rPr>
        <w:t>钦州市钦南区保税港区大榄坪三号路钦州保税港区消防救援大队斜对面</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（指定收货人：</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，联系电话：</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）或甲方书面通知的其他地方。</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本产品所有权自产品交付给甲方之日起全部转移给甲方。</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运输的费用由乙方承担，含过路费、卸载费、</w:t>
      </w:r>
      <w:r>
        <w:rPr>
          <w:rFonts w:hint="eastAsia" w:ascii="Times New Roman" w:hAnsi="Times New Roman" w:eastAsia="楷体"/>
          <w:sz w:val="21"/>
          <w:szCs w:val="21"/>
          <w:lang w:val="en-US" w:eastAsia="zh-Hans"/>
        </w:rPr>
        <w:t>运输费</w:t>
      </w:r>
      <w:r>
        <w:rPr>
          <w:rFonts w:ascii="Times New Roman" w:hAnsi="Times New Roman" w:eastAsia="楷体"/>
          <w:sz w:val="21"/>
          <w:szCs w:val="21"/>
        </w:rPr>
        <w:t>等相关费用。</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乙方应对产品的包装和运输负责，产品的包装应适应于多次运输、装卸和存放的要求, 并承担产品在运输过程中和交付</w:t>
      </w:r>
      <w:r>
        <w:rPr>
          <w:rFonts w:hint="eastAsia" w:ascii="Times New Roman" w:hAnsi="Times New Roman" w:eastAsia="楷体"/>
          <w:sz w:val="21"/>
          <w:szCs w:val="21"/>
          <w:lang w:val="en-US" w:eastAsia="zh-Hans"/>
        </w:rPr>
        <w:t>甲方</w:t>
      </w:r>
      <w:r>
        <w:rPr>
          <w:rFonts w:ascii="Times New Roman" w:hAnsi="Times New Roman" w:eastAsia="楷体"/>
          <w:sz w:val="21"/>
          <w:szCs w:val="21"/>
        </w:rPr>
        <w:t>前的所有风险。产品应按其需要及特点进行适当包装，并明显地标注“防雨”、“防水”、“防潮”、“此面向上”等字样和其它国际贸易中适当的标志。</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乙方应</w:t>
      </w:r>
      <w:r>
        <w:rPr>
          <w:rFonts w:hint="eastAsia" w:ascii="Times New Roman" w:hAnsi="Times New Roman" w:eastAsia="楷体"/>
          <w:sz w:val="21"/>
          <w:szCs w:val="21"/>
          <w:lang w:val="en-US" w:eastAsia="zh-CN"/>
        </w:rPr>
        <w:t>按照本合同4.1规定，在收到甲方预付款30%后7个工作日内，向</w:t>
      </w:r>
      <w:r>
        <w:rPr>
          <w:rFonts w:ascii="Times New Roman" w:hAnsi="Times New Roman" w:eastAsia="楷体"/>
          <w:sz w:val="21"/>
          <w:szCs w:val="21"/>
        </w:rPr>
        <w:t>甲方交付产品</w:t>
      </w:r>
      <w:r>
        <w:rPr>
          <w:rFonts w:hint="eastAsia" w:ascii="Times New Roman" w:hAnsi="Times New Roman" w:eastAsia="楷体"/>
          <w:sz w:val="21"/>
          <w:szCs w:val="21"/>
          <w:lang w:eastAsia="zh-CN"/>
        </w:rPr>
        <w:t>。</w:t>
      </w:r>
      <w:r>
        <w:rPr>
          <w:rFonts w:hint="eastAsia" w:ascii="Times New Roman" w:hAnsi="Times New Roman" w:eastAsia="楷体"/>
          <w:sz w:val="21"/>
          <w:szCs w:val="21"/>
          <w:lang w:val="en-US" w:eastAsia="zh-CN"/>
        </w:rPr>
        <w:t>乙方在</w:t>
      </w:r>
      <w:r>
        <w:rPr>
          <w:rFonts w:ascii="Times New Roman" w:hAnsi="Times New Roman" w:eastAsia="楷体"/>
          <w:sz w:val="21"/>
          <w:szCs w:val="21"/>
        </w:rPr>
        <w:t>交货前12小时与甲方进行交货确认，以便甲方合理安排产品的接收和存放。乙方在向甲方交付产品的同时，应当将相关的装箱单、产品质量合格证书、产品使用说明书等附随文件一并转交甲方，并予甲方人员以使用方法的培训和注意事项的提醒。</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乙方在发货前应对产品的质量、规格、性能及数量等按照合同的约定进行谨慎、准确、全面的检验。甲方对乙方送达的产品进行开箱检验并签收后，方可视为完成产品交付。但甲方验收合格和/或签收不应视为甲方对产品质量的接受，也不影响甲方就产品存在的任何质量问题要求乙方承担违约责任。</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在履行合同过程中，如果乙方遇到不能按时交货和/或提供服务的情况，应至少提前5天以书面形式将不能按时交货和/或提供服务的理由、延误时间通知甲方。甲方在收到乙方通知后，甲方有权单方决定是否修改本合同中规定的交货时间。</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如果乙方交货不符合合同的约定，除非甲方有其它说明，乙方应自费在甲方规定的时间</w:t>
      </w:r>
      <w:r>
        <w:rPr>
          <w:rFonts w:ascii="Times New Roman" w:hAnsi="Times New Roman" w:eastAsia="楷体"/>
          <w:sz w:val="21"/>
          <w:szCs w:val="21"/>
          <w:u w:val="single"/>
        </w:rPr>
        <w:t xml:space="preserve">   25</w:t>
      </w:r>
      <w:r>
        <w:rPr>
          <w:rFonts w:hint="eastAsia" w:ascii="Times New Roman" w:hAnsi="Times New Roman" w:eastAsia="楷体"/>
          <w:sz w:val="21"/>
          <w:szCs w:val="21"/>
          <w:u w:val="single"/>
        </w:rPr>
        <w:t>个工作日</w:t>
      </w:r>
      <w:r>
        <w:rPr>
          <w:rFonts w:ascii="Times New Roman" w:hAnsi="Times New Roman" w:eastAsia="楷体"/>
          <w:sz w:val="21"/>
          <w:szCs w:val="21"/>
          <w:u w:val="single"/>
        </w:rPr>
        <w:t xml:space="preserve">        </w:t>
      </w:r>
      <w:r>
        <w:rPr>
          <w:rFonts w:ascii="Times New Roman" w:hAnsi="Times New Roman" w:eastAsia="楷体"/>
          <w:sz w:val="21"/>
          <w:szCs w:val="21"/>
        </w:rPr>
        <w:t>内运回所有错交产品或多交产品，并按合同规定向甲方交付正确产品。如乙方未能在前述规定时间内完成运回错交产品或多交产品，甲方可对此类产品自行处理，所有发生的费用</w:t>
      </w:r>
      <w:r>
        <w:rPr>
          <w:rFonts w:hint="eastAsia" w:ascii="Times New Roman" w:hAnsi="Times New Roman" w:eastAsia="楷体"/>
          <w:sz w:val="21"/>
          <w:szCs w:val="21"/>
          <w:lang w:val="en-US" w:eastAsia="zh-Hans"/>
        </w:rPr>
        <w:t>及造成的损失</w:t>
      </w:r>
      <w:r>
        <w:rPr>
          <w:rFonts w:ascii="Times New Roman" w:hAnsi="Times New Roman" w:eastAsia="楷体"/>
          <w:sz w:val="21"/>
          <w:szCs w:val="21"/>
        </w:rPr>
        <w:t>由乙方承担。</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如果甲方因某种原因未能按合同规定的时间与地点进行产品接收，则乙方应采取必要措施对这些产品存放、保护和保卫，防止产品变形、损坏、丢失等，直至交付甲方。乙方免费保存期为180日，超过该期限并已获得甲方书面同意后，甲方应对乙方用于保护产品所花的合理费用（</w:t>
      </w:r>
      <w:r>
        <w:rPr>
          <w:rFonts w:hint="eastAsia" w:ascii="Times New Roman" w:hAnsi="Times New Roman" w:eastAsia="楷体"/>
          <w:sz w:val="21"/>
          <w:szCs w:val="21"/>
          <w:lang w:val="en-US" w:eastAsia="zh-Hans"/>
        </w:rPr>
        <w:t>乙方同意</w:t>
      </w:r>
      <w:r>
        <w:rPr>
          <w:rFonts w:ascii="Times New Roman" w:hAnsi="Times New Roman" w:eastAsia="楷体"/>
          <w:sz w:val="21"/>
          <w:szCs w:val="21"/>
        </w:rPr>
        <w:t>仓储费及管理费免予收取）承担付费的责任。但是产品不符合本合同规定和/或乙方存在违约的情形除外。</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乙方实际交货数量超出合同约定数量的，对超过部分甲方有权拒绝接收。乙方实际交货数量比合同约定数量短少的，甲方有权要求乙方立即补足，乙方补足产品的最终时间为乙方交货时间，如果该交货时间晚于合同约定交货期限的则构成</w:t>
      </w:r>
      <w:r>
        <w:rPr>
          <w:rFonts w:hint="eastAsia" w:ascii="Times New Roman" w:hAnsi="Times New Roman" w:eastAsia="楷体"/>
          <w:sz w:val="21"/>
          <w:szCs w:val="21"/>
        </w:rPr>
        <w:t>迟延履行</w:t>
      </w:r>
      <w:r>
        <w:rPr>
          <w:rFonts w:ascii="Times New Roman" w:hAnsi="Times New Roman" w:eastAsia="楷体"/>
          <w:sz w:val="21"/>
          <w:szCs w:val="21"/>
        </w:rPr>
        <w:t>，甲方有权按本合同的7.1条要求乙方承担</w:t>
      </w:r>
      <w:r>
        <w:rPr>
          <w:rFonts w:ascii="Times New Roman" w:hAnsi="Times New Roman" w:eastAsia="楷体"/>
          <w:bCs/>
          <w:sz w:val="21"/>
          <w:szCs w:val="21"/>
        </w:rPr>
        <w:t>迟延</w:t>
      </w:r>
      <w:r>
        <w:rPr>
          <w:rFonts w:hint="eastAsia" w:ascii="Times New Roman" w:hAnsi="Times New Roman" w:eastAsia="楷体"/>
          <w:bCs/>
          <w:sz w:val="21"/>
          <w:szCs w:val="21"/>
        </w:rPr>
        <w:t>履行</w:t>
      </w:r>
      <w:r>
        <w:rPr>
          <w:rFonts w:ascii="Times New Roman" w:hAnsi="Times New Roman" w:eastAsia="楷体"/>
          <w:bCs/>
          <w:sz w:val="21"/>
          <w:szCs w:val="21"/>
        </w:rPr>
        <w:t>违约</w:t>
      </w:r>
      <w:r>
        <w:rPr>
          <w:rFonts w:ascii="Times New Roman" w:hAnsi="Times New Roman" w:eastAsia="楷体"/>
          <w:sz w:val="21"/>
          <w:szCs w:val="21"/>
        </w:rPr>
        <w:t>责任；甲方也有权拒绝接收乙方在交货期限届满后交付的补足产品，并要求乙方支付相当于差额产品总货款20%的违约金。</w:t>
      </w:r>
    </w:p>
    <w:p>
      <w:pPr>
        <w:pStyle w:val="31"/>
        <w:numPr>
          <w:ilvl w:val="0"/>
          <w:numId w:val="3"/>
        </w:numPr>
        <w:ind w:firstLineChars="0"/>
        <w:rPr>
          <w:rFonts w:ascii="Times New Roman" w:hAnsi="Times New Roman" w:eastAsia="楷体"/>
          <w:b/>
          <w:sz w:val="21"/>
          <w:szCs w:val="21"/>
        </w:rPr>
      </w:pPr>
      <w:r>
        <w:rPr>
          <w:rFonts w:ascii="Times New Roman" w:hAnsi="Times New Roman" w:eastAsia="楷体"/>
          <w:b/>
          <w:sz w:val="21"/>
          <w:szCs w:val="21"/>
        </w:rPr>
        <w:t>付款时间及方式</w:t>
      </w:r>
    </w:p>
    <w:p>
      <w:pPr>
        <w:pStyle w:val="31"/>
        <w:numPr>
          <w:ilvl w:val="0"/>
          <w:numId w:val="6"/>
        </w:numPr>
        <w:ind w:left="0" w:firstLine="0" w:firstLineChars="0"/>
        <w:rPr>
          <w:rFonts w:ascii="Times New Roman" w:hAnsi="Times New Roman" w:eastAsia="楷体"/>
          <w:color w:val="auto"/>
          <w:sz w:val="21"/>
          <w:szCs w:val="21"/>
        </w:rPr>
      </w:pPr>
      <w:r>
        <w:rPr>
          <w:rFonts w:hint="eastAsia" w:ascii="Times New Roman" w:hAnsi="Times New Roman" w:eastAsia="楷体"/>
          <w:sz w:val="21"/>
          <w:szCs w:val="21"/>
        </w:rPr>
        <w:t>合同签署后10个工作日内，甲方以预付的方式支付给乙方合同总价的</w:t>
      </w:r>
      <w:r>
        <w:rPr>
          <w:rFonts w:ascii="Times New Roman" w:hAnsi="Times New Roman" w:eastAsia="楷体"/>
          <w:sz w:val="21"/>
          <w:szCs w:val="21"/>
          <w:u w:val="single"/>
        </w:rPr>
        <w:t>30%</w:t>
      </w:r>
      <w:r>
        <w:rPr>
          <w:rFonts w:hint="eastAsia" w:ascii="Times New Roman" w:hAnsi="Times New Roman" w:eastAsia="楷体"/>
          <w:sz w:val="21"/>
          <w:szCs w:val="21"/>
        </w:rPr>
        <w:t>，</w:t>
      </w:r>
      <w:r>
        <w:rPr>
          <w:rFonts w:hint="eastAsia" w:ascii="Times New Roman" w:hAnsi="Times New Roman" w:eastAsia="楷体"/>
          <w:color w:val="auto"/>
          <w:sz w:val="21"/>
          <w:szCs w:val="21"/>
        </w:rPr>
        <w:t>共计人民币</w:t>
      </w:r>
      <w:r>
        <w:rPr>
          <w:rFonts w:hint="eastAsia" w:ascii="Times New Roman" w:hAnsi="Times New Roman" w:eastAsia="楷体"/>
          <w:color w:val="auto"/>
          <w:sz w:val="21"/>
          <w:szCs w:val="21"/>
          <w:u w:val="single"/>
          <w:lang w:val="en-US" w:eastAsia="zh-CN"/>
        </w:rPr>
        <w:t xml:space="preserve">  </w:t>
      </w:r>
      <w:r>
        <w:rPr>
          <w:rFonts w:hint="eastAsia" w:ascii="Times New Roman" w:hAnsi="Times New Roman" w:eastAsia="楷体"/>
          <w:color w:val="auto"/>
          <w:sz w:val="21"/>
          <w:szCs w:val="21"/>
        </w:rPr>
        <w:t>元，</w:t>
      </w:r>
    </w:p>
    <w:p>
      <w:pPr>
        <w:pStyle w:val="31"/>
        <w:ind w:firstLine="0" w:firstLineChars="0"/>
        <w:rPr>
          <w:rFonts w:ascii="Times New Roman" w:hAnsi="Times New Roman" w:eastAsia="楷体"/>
          <w:color w:val="auto"/>
          <w:sz w:val="21"/>
          <w:szCs w:val="21"/>
        </w:rPr>
      </w:pPr>
      <w:r>
        <w:rPr>
          <w:rFonts w:ascii="Times New Roman" w:hAnsi="Times New Roman" w:eastAsia="楷体"/>
          <w:sz w:val="21"/>
          <w:szCs w:val="21"/>
        </w:rPr>
        <w:t>甲方收到产</w:t>
      </w:r>
      <w:r>
        <w:rPr>
          <w:rFonts w:ascii="Times New Roman" w:hAnsi="Times New Roman" w:eastAsia="楷体"/>
          <w:color w:val="auto"/>
          <w:sz w:val="21"/>
          <w:szCs w:val="21"/>
        </w:rPr>
        <w:t>品且对其</w:t>
      </w:r>
      <w:r>
        <w:rPr>
          <w:rFonts w:hint="eastAsia" w:ascii="Times New Roman" w:hAnsi="Times New Roman" w:eastAsia="楷体"/>
          <w:color w:val="auto"/>
          <w:sz w:val="21"/>
          <w:szCs w:val="21"/>
          <w:lang w:eastAsia="zh-CN"/>
        </w:rPr>
        <w:t>安装</w:t>
      </w:r>
      <w:r>
        <w:rPr>
          <w:rFonts w:ascii="Times New Roman" w:hAnsi="Times New Roman" w:eastAsia="楷体"/>
          <w:color w:val="auto"/>
          <w:sz w:val="21"/>
          <w:szCs w:val="21"/>
        </w:rPr>
        <w:t>验收合格后通知乙方开具正式且符合甲方要求的</w:t>
      </w:r>
      <w:r>
        <w:rPr>
          <w:rFonts w:hint="eastAsia" w:ascii="Times New Roman" w:hAnsi="Times New Roman" w:eastAsia="楷体"/>
          <w:color w:val="auto"/>
          <w:sz w:val="21"/>
          <w:szCs w:val="21"/>
          <w:lang w:val="en-US" w:eastAsia="zh-CN"/>
        </w:rPr>
        <w:t>【】</w:t>
      </w:r>
      <w:r>
        <w:rPr>
          <w:rFonts w:ascii="Times New Roman" w:hAnsi="Times New Roman" w:eastAsia="楷体"/>
          <w:color w:val="auto"/>
          <w:sz w:val="21"/>
          <w:szCs w:val="21"/>
        </w:rPr>
        <w:t>增值税专用发票，甲方收到此发票后30个工作日内支付甲方合同总价的</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rPr>
        <w:t xml:space="preserve"> %，共计人民币</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元；合同总价的</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 xml:space="preserve"> %作为质保金，共计人民币 </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元，于产品质保期届满后无任何质量问题的30日内支付质保金余额（如有）。</w:t>
      </w:r>
    </w:p>
    <w:p>
      <w:pPr>
        <w:pStyle w:val="31"/>
        <w:numPr>
          <w:ilvl w:val="0"/>
          <w:numId w:val="6"/>
        </w:numPr>
        <w:ind w:left="0" w:firstLine="0" w:firstLineChars="0"/>
        <w:rPr>
          <w:rFonts w:ascii="Times New Roman" w:hAnsi="Times New Roman" w:eastAsia="楷体"/>
          <w:sz w:val="21"/>
          <w:szCs w:val="21"/>
        </w:rPr>
      </w:pPr>
      <w:r>
        <w:rPr>
          <w:rFonts w:ascii="Times New Roman" w:hAnsi="Times New Roman" w:eastAsia="楷体"/>
          <w:sz w:val="21"/>
          <w:szCs w:val="21"/>
        </w:rPr>
        <w:t>乙方向甲方提出付款请求和/或甲方支付任何款项之前，乙方应当向甲方提交如下交付文件，若因乙方迟延向甲方递交如下文件导致甲方付款迟延，甲方不承担责任。</w:t>
      </w:r>
    </w:p>
    <w:p>
      <w:pPr>
        <w:rPr>
          <w:rFonts w:ascii="Times New Roman" w:hAnsi="Times New Roman" w:eastAsia="楷体"/>
          <w:sz w:val="21"/>
          <w:szCs w:val="21"/>
        </w:rPr>
      </w:pPr>
      <w:r>
        <w:rPr>
          <w:rFonts w:ascii="Times New Roman" w:hAnsi="Times New Roman" w:eastAsia="楷体"/>
          <w:sz w:val="21"/>
          <w:szCs w:val="21"/>
        </w:rPr>
        <w:t xml:space="preserve">1)  注明产品名称、数量、单价、正式的增值税专用发票。 </w:t>
      </w:r>
    </w:p>
    <w:p>
      <w:pPr>
        <w:rPr>
          <w:rFonts w:ascii="Times New Roman" w:hAnsi="Times New Roman" w:eastAsia="楷体"/>
          <w:sz w:val="21"/>
          <w:szCs w:val="21"/>
        </w:rPr>
      </w:pPr>
      <w:r>
        <w:rPr>
          <w:rFonts w:ascii="Times New Roman" w:hAnsi="Times New Roman" w:eastAsia="楷体"/>
          <w:sz w:val="21"/>
          <w:szCs w:val="21"/>
        </w:rPr>
        <w:t>2)  甲方签发的产品接收单。</w:t>
      </w:r>
    </w:p>
    <w:p>
      <w:pPr>
        <w:rPr>
          <w:rFonts w:ascii="Times New Roman" w:hAnsi="Times New Roman" w:eastAsia="楷体"/>
          <w:sz w:val="21"/>
          <w:szCs w:val="21"/>
        </w:rPr>
      </w:pPr>
      <w:r>
        <w:rPr>
          <w:rFonts w:ascii="Times New Roman" w:hAnsi="Times New Roman" w:eastAsia="楷体"/>
          <w:sz w:val="21"/>
          <w:szCs w:val="21"/>
        </w:rPr>
        <w:t>3)  质量合格证书、保修证书。</w:t>
      </w:r>
    </w:p>
    <w:p>
      <w:pPr>
        <w:rPr>
          <w:rFonts w:ascii="Times New Roman" w:hAnsi="Times New Roman" w:eastAsia="楷体"/>
          <w:sz w:val="21"/>
          <w:szCs w:val="21"/>
        </w:rPr>
      </w:pPr>
      <w:r>
        <w:rPr>
          <w:rFonts w:ascii="Times New Roman" w:hAnsi="Times New Roman" w:eastAsia="楷体"/>
          <w:sz w:val="21"/>
          <w:szCs w:val="21"/>
        </w:rPr>
        <w:t>4)  详细的装箱单。</w:t>
      </w:r>
    </w:p>
    <w:p>
      <w:pPr>
        <w:rPr>
          <w:rFonts w:ascii="Times New Roman" w:hAnsi="Times New Roman" w:eastAsia="楷体"/>
          <w:sz w:val="21"/>
          <w:szCs w:val="21"/>
        </w:rPr>
      </w:pPr>
      <w:r>
        <w:rPr>
          <w:rFonts w:ascii="Times New Roman" w:hAnsi="Times New Roman" w:eastAsia="楷体"/>
          <w:sz w:val="21"/>
          <w:szCs w:val="21"/>
        </w:rPr>
        <w:t>5)  原产地证明。（如有）</w:t>
      </w:r>
    </w:p>
    <w:p>
      <w:pPr>
        <w:rPr>
          <w:rFonts w:ascii="Times New Roman" w:hAnsi="Times New Roman" w:eastAsia="楷体"/>
          <w:sz w:val="21"/>
          <w:szCs w:val="21"/>
        </w:rPr>
      </w:pPr>
      <w:r>
        <w:rPr>
          <w:rFonts w:ascii="Times New Roman" w:hAnsi="Times New Roman" w:eastAsia="楷体"/>
          <w:sz w:val="21"/>
          <w:szCs w:val="21"/>
        </w:rPr>
        <w:t>6)</w:t>
      </w:r>
      <w:r>
        <w:rPr>
          <w:rFonts w:hint="eastAsia" w:ascii="Times New Roman" w:hAnsi="Times New Roman" w:eastAsia="楷体"/>
          <w:sz w:val="21"/>
          <w:szCs w:val="21"/>
          <w:lang w:val="en-US" w:eastAsia="zh-CN"/>
        </w:rPr>
        <w:t xml:space="preserve">  </w:t>
      </w:r>
      <w:r>
        <w:rPr>
          <w:rFonts w:ascii="Times New Roman" w:hAnsi="Times New Roman" w:eastAsia="楷体"/>
          <w:sz w:val="21"/>
          <w:szCs w:val="21"/>
        </w:rPr>
        <w:t>合同规定或双方另行约定的乙方应当提交的其他文件。</w:t>
      </w:r>
    </w:p>
    <w:p>
      <w:pPr>
        <w:pStyle w:val="31"/>
        <w:numPr>
          <w:ilvl w:val="0"/>
          <w:numId w:val="3"/>
        </w:numPr>
        <w:ind w:firstLineChars="0"/>
        <w:rPr>
          <w:rFonts w:ascii="Times New Roman" w:hAnsi="Times New Roman" w:eastAsia="楷体"/>
          <w:b/>
          <w:sz w:val="21"/>
          <w:szCs w:val="21"/>
        </w:rPr>
      </w:pPr>
      <w:r>
        <w:rPr>
          <w:rFonts w:hint="eastAsia" w:ascii="Times New Roman" w:hAnsi="Times New Roman" w:eastAsia="楷体"/>
          <w:b/>
          <w:sz w:val="21"/>
          <w:szCs w:val="21"/>
          <w:lang w:eastAsia="zh-CN"/>
        </w:rPr>
        <w:t>安装培训及</w:t>
      </w:r>
      <w:r>
        <w:rPr>
          <w:rFonts w:ascii="Times New Roman" w:hAnsi="Times New Roman" w:eastAsia="楷体"/>
          <w:b/>
          <w:sz w:val="21"/>
          <w:szCs w:val="21"/>
        </w:rPr>
        <w:t xml:space="preserve">产品验收  </w:t>
      </w:r>
    </w:p>
    <w:p>
      <w:pPr>
        <w:pStyle w:val="31"/>
        <w:numPr>
          <w:ilvl w:val="0"/>
          <w:numId w:val="7"/>
        </w:numPr>
        <w:ind w:left="0" w:firstLine="0" w:firstLineChars="0"/>
        <w:rPr>
          <w:rFonts w:ascii="Times New Roman" w:hAnsi="Times New Roman" w:eastAsia="楷体"/>
          <w:sz w:val="21"/>
          <w:szCs w:val="21"/>
        </w:rPr>
      </w:pPr>
      <w:r>
        <w:rPr>
          <w:rFonts w:ascii="Times New Roman" w:hAnsi="Times New Roman" w:eastAsia="楷体"/>
          <w:sz w:val="21"/>
          <w:szCs w:val="21"/>
        </w:rPr>
        <w:t>乙方将甲方所购买产品送到甲方指定的地点后，甲方接收人需对乙方或乙方安排的物流公司配送的产品开箱签收，初步检查产品是否有破损、瑕疵或短缺等。乙方的产品不符合甲方上述要求的，甲方有权拒绝接收。</w:t>
      </w:r>
    </w:p>
    <w:p>
      <w:pPr>
        <w:pStyle w:val="31"/>
        <w:numPr>
          <w:ilvl w:val="0"/>
          <w:numId w:val="7"/>
        </w:numPr>
        <w:ind w:left="0" w:firstLine="0" w:firstLineChars="0"/>
        <w:rPr>
          <w:rFonts w:ascii="Times New Roman" w:hAnsi="Times New Roman" w:eastAsia="楷体"/>
          <w:sz w:val="21"/>
          <w:szCs w:val="21"/>
        </w:rPr>
      </w:pPr>
      <w:r>
        <w:rPr>
          <w:rFonts w:hint="eastAsia" w:ascii="Times New Roman" w:hAnsi="Times New Roman" w:eastAsia="楷体"/>
          <w:bCs/>
          <w:sz w:val="21"/>
          <w:szCs w:val="21"/>
          <w:lang w:eastAsia="zh-CN"/>
        </w:rPr>
        <w:t>乙方在甲方指定的地点对产品进行安装、调试，运行一个月无问题后，对乙方提供的产品进行验收。</w:t>
      </w:r>
      <w:r>
        <w:rPr>
          <w:rFonts w:hint="eastAsia" w:ascii="Times New Roman" w:hAnsi="Times New Roman" w:eastAsia="楷体"/>
          <w:bCs/>
          <w:sz w:val="21"/>
          <w:szCs w:val="21"/>
          <w:lang w:val="en-US" w:eastAsia="zh-CN"/>
        </w:rPr>
        <w:t>安装时间：甲方签收产品5个工作日之后乙方须开始安装，自安装之日起，安装期限为1个月。</w:t>
      </w:r>
      <w:r>
        <w:rPr>
          <w:rFonts w:hint="eastAsia" w:ascii="Times New Roman" w:hAnsi="Times New Roman" w:eastAsia="楷体"/>
          <w:bCs/>
          <w:sz w:val="21"/>
          <w:szCs w:val="21"/>
          <w:lang w:eastAsia="zh-CN"/>
        </w:rPr>
        <w:t>安装地点：</w:t>
      </w:r>
      <w:r>
        <w:rPr>
          <w:rFonts w:hint="eastAsia" w:ascii="Times New Roman" w:hAnsi="Times New Roman" w:eastAsia="楷体"/>
          <w:bCs/>
          <w:szCs w:val="21"/>
        </w:rPr>
        <w:t>钦州市钦南区保税港区大榄坪三号路钦州保税港区消防救援大队斜对面</w:t>
      </w:r>
      <w:r>
        <w:rPr>
          <w:rFonts w:ascii="Times New Roman" w:hAnsi="Times New Roman" w:eastAsia="楷体"/>
          <w:bCs/>
          <w:sz w:val="21"/>
          <w:szCs w:val="21"/>
        </w:rPr>
        <w:t>。</w:t>
      </w:r>
    </w:p>
    <w:p>
      <w:pPr>
        <w:pStyle w:val="31"/>
        <w:numPr>
          <w:ilvl w:val="0"/>
          <w:numId w:val="7"/>
        </w:numPr>
        <w:ind w:left="0" w:firstLine="0" w:firstLineChars="0"/>
        <w:rPr>
          <w:rFonts w:ascii="Times New Roman" w:hAnsi="Times New Roman" w:eastAsia="楷体"/>
          <w:sz w:val="21"/>
          <w:szCs w:val="21"/>
        </w:rPr>
      </w:pPr>
      <w:r>
        <w:rPr>
          <w:rFonts w:hint="eastAsia" w:ascii="Times New Roman" w:hAnsi="Times New Roman" w:eastAsia="楷体"/>
          <w:sz w:val="21"/>
          <w:szCs w:val="21"/>
          <w:lang w:eastAsia="zh-CN"/>
        </w:rPr>
        <w:t>乙方应对安装产品的使用方法培训甲方相</w:t>
      </w:r>
      <w:r>
        <w:rPr>
          <w:rFonts w:hint="eastAsia" w:ascii="Times New Roman" w:hAnsi="Times New Roman" w:eastAsia="楷体"/>
          <w:sz w:val="21"/>
          <w:szCs w:val="21"/>
          <w:lang w:val="en-US" w:eastAsia="zh-CN"/>
        </w:rPr>
        <w:t>关</w:t>
      </w:r>
      <w:r>
        <w:rPr>
          <w:rFonts w:hint="eastAsia" w:ascii="Times New Roman" w:hAnsi="Times New Roman" w:eastAsia="楷体"/>
          <w:sz w:val="21"/>
          <w:szCs w:val="21"/>
          <w:lang w:eastAsia="zh-CN"/>
        </w:rPr>
        <w:t>人员，培训地点为：</w:t>
      </w:r>
      <w:r>
        <w:rPr>
          <w:rFonts w:hint="eastAsia" w:ascii="Times New Roman" w:hAnsi="Times New Roman" w:eastAsia="楷体"/>
          <w:szCs w:val="21"/>
        </w:rPr>
        <w:t>钦州市钦南区保税港区大榄坪三号路钦州保税港区消防救援大队斜对面</w:t>
      </w:r>
    </w:p>
    <w:p>
      <w:pPr>
        <w:pStyle w:val="31"/>
        <w:numPr>
          <w:ilvl w:val="0"/>
          <w:numId w:val="3"/>
        </w:numPr>
        <w:ind w:firstLineChars="0"/>
        <w:rPr>
          <w:rFonts w:ascii="Times New Roman" w:hAnsi="Times New Roman" w:eastAsia="楷体"/>
          <w:b/>
          <w:sz w:val="21"/>
          <w:szCs w:val="21"/>
        </w:rPr>
      </w:pPr>
      <w:r>
        <w:rPr>
          <w:rFonts w:ascii="Times New Roman" w:hAnsi="Times New Roman" w:eastAsia="楷体"/>
          <w:b/>
          <w:sz w:val="21"/>
          <w:szCs w:val="21"/>
        </w:rPr>
        <w:t>质保期</w:t>
      </w:r>
    </w:p>
    <w:p>
      <w:pPr>
        <w:rPr>
          <w:rFonts w:ascii="Times New Roman" w:hAnsi="Times New Roman" w:eastAsia="楷体"/>
          <w:sz w:val="21"/>
          <w:szCs w:val="21"/>
        </w:rPr>
      </w:pPr>
      <w:r>
        <w:rPr>
          <w:rFonts w:ascii="Times New Roman" w:hAnsi="Times New Roman" w:eastAsia="楷体"/>
          <w:sz w:val="21"/>
          <w:szCs w:val="21"/>
        </w:rPr>
        <w:t>甲方完全享受乙方对合同产品在中国地区所承诺的一切质量保证、维护及其它服务。产品质保期为自甲方收到产品且验收合格之日起</w:t>
      </w:r>
      <w:r>
        <w:rPr>
          <w:rFonts w:ascii="Times New Roman" w:hAnsi="Times New Roman" w:eastAsia="楷体"/>
          <w:color w:val="auto"/>
          <w:sz w:val="21"/>
          <w:szCs w:val="21"/>
        </w:rPr>
        <w:t>【</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rPr>
        <w:t>】</w:t>
      </w:r>
      <w:r>
        <w:rPr>
          <w:rFonts w:ascii="Times New Roman" w:hAnsi="Times New Roman" w:eastAsia="楷体"/>
          <w:sz w:val="21"/>
          <w:szCs w:val="21"/>
        </w:rPr>
        <w:t>年或产品原厂家质保期（以较长者为准），但维修或更换（如有）</w:t>
      </w:r>
      <w:r>
        <w:rPr>
          <w:rFonts w:hint="eastAsia" w:ascii="Times New Roman" w:hAnsi="Times New Roman" w:eastAsia="楷体"/>
          <w:sz w:val="21"/>
          <w:szCs w:val="21"/>
        </w:rPr>
        <w:t>后</w:t>
      </w:r>
      <w:r>
        <w:rPr>
          <w:rFonts w:ascii="Times New Roman" w:hAnsi="Times New Roman" w:eastAsia="楷体"/>
          <w:sz w:val="21"/>
          <w:szCs w:val="21"/>
        </w:rPr>
        <w:t>的产品的质保期应当自维修或更换完成且甲方书面确认接受起重新计算，质保服务按产品保修证书和该产品生产厂家的标准执行（但质保服务不应低于国家和行业相关规定、规范及标准）。质保期内出现任何质量问题，乙方应负责免费维修或更换。若乙方未能及时提供保修，甲方有权自行或委托第三方进行维修或更换，相应费用由甲方从质保金中直接扣除，若质保金不足以支付该费用，则不足部分应当由乙方承担。</w:t>
      </w:r>
    </w:p>
    <w:p>
      <w:pPr>
        <w:pStyle w:val="31"/>
        <w:numPr>
          <w:ilvl w:val="0"/>
          <w:numId w:val="3"/>
        </w:numPr>
        <w:ind w:firstLineChars="0"/>
        <w:rPr>
          <w:rFonts w:ascii="Times New Roman" w:hAnsi="Times New Roman" w:eastAsia="楷体"/>
          <w:b/>
          <w:sz w:val="21"/>
          <w:szCs w:val="21"/>
        </w:rPr>
      </w:pPr>
      <w:r>
        <w:rPr>
          <w:rFonts w:ascii="Times New Roman" w:hAnsi="Times New Roman" w:eastAsia="楷体"/>
          <w:b/>
          <w:sz w:val="21"/>
          <w:szCs w:val="21"/>
        </w:rPr>
        <w:t>违约责任</w:t>
      </w:r>
    </w:p>
    <w:p>
      <w:pPr>
        <w:pStyle w:val="31"/>
        <w:numPr>
          <w:ilvl w:val="0"/>
          <w:numId w:val="8"/>
        </w:numPr>
        <w:ind w:left="0" w:firstLine="0" w:firstLineChars="0"/>
        <w:rPr>
          <w:rFonts w:ascii="Times New Roman" w:hAnsi="Times New Roman" w:eastAsia="楷体"/>
          <w:bCs/>
          <w:sz w:val="21"/>
          <w:szCs w:val="21"/>
        </w:rPr>
      </w:pPr>
      <w:r>
        <w:rPr>
          <w:rFonts w:ascii="Times New Roman" w:hAnsi="Times New Roman" w:eastAsia="楷体"/>
          <w:bCs/>
          <w:sz w:val="21"/>
          <w:szCs w:val="21"/>
        </w:rPr>
        <w:t>如果乙方迟延交货、交货不符合合同约定或迟延履行其他义务的，而该违约行为非因不可抗力且未征得甲方书面同意，</w:t>
      </w:r>
      <w:r>
        <w:rPr>
          <w:rFonts w:hint="eastAsia" w:ascii="Times New Roman" w:hAnsi="Times New Roman" w:eastAsia="楷体"/>
          <w:bCs/>
          <w:sz w:val="21"/>
          <w:szCs w:val="21"/>
          <w:lang w:val="en-US" w:eastAsia="zh-Hans"/>
        </w:rPr>
        <w:t>每逾期一日</w:t>
      </w:r>
      <w:r>
        <w:rPr>
          <w:rFonts w:hint="default" w:ascii="Times New Roman" w:hAnsi="Times New Roman" w:eastAsia="楷体"/>
          <w:bCs/>
          <w:sz w:val="21"/>
          <w:szCs w:val="21"/>
          <w:lang w:eastAsia="zh-Hans"/>
        </w:rPr>
        <w:t>，</w:t>
      </w:r>
      <w:r>
        <w:rPr>
          <w:rFonts w:ascii="Times New Roman" w:hAnsi="Times New Roman" w:eastAsia="楷体"/>
          <w:bCs/>
          <w:sz w:val="21"/>
          <w:szCs w:val="21"/>
        </w:rPr>
        <w:t>乙方应当按合同总价的0.5%计付日迟延</w:t>
      </w:r>
      <w:r>
        <w:rPr>
          <w:rFonts w:hint="eastAsia" w:ascii="Times New Roman" w:hAnsi="Times New Roman" w:eastAsia="楷体"/>
          <w:bCs/>
          <w:sz w:val="21"/>
          <w:szCs w:val="21"/>
        </w:rPr>
        <w:t>履行</w:t>
      </w:r>
      <w:r>
        <w:rPr>
          <w:rFonts w:ascii="Times New Roman" w:hAnsi="Times New Roman" w:eastAsia="楷体"/>
          <w:bCs/>
          <w:sz w:val="21"/>
          <w:szCs w:val="21"/>
        </w:rPr>
        <w:t>违约金。当迟延行为超过约定的期限15天或虽未满15天但乙方明确表示届时不能按照合同约定交付产品和/或履行其他义务时，甲方有权终止整个合同或合同的任何一部分并且要求乙方支付相当于合同总价20%的违约赔偿金。若前述违约金不足以弥补甲方损失的，乙方应当就甲方的损失承担赔偿责任。</w:t>
      </w:r>
    </w:p>
    <w:p>
      <w:pPr>
        <w:pStyle w:val="31"/>
        <w:numPr>
          <w:ilvl w:val="0"/>
          <w:numId w:val="8"/>
        </w:numPr>
        <w:ind w:left="0" w:firstLine="0" w:firstLineChars="0"/>
        <w:rPr>
          <w:rFonts w:ascii="Times New Roman" w:hAnsi="Times New Roman" w:eastAsia="楷体"/>
          <w:bCs/>
          <w:sz w:val="21"/>
          <w:szCs w:val="21"/>
        </w:rPr>
      </w:pPr>
      <w:r>
        <w:rPr>
          <w:rFonts w:ascii="Times New Roman" w:hAnsi="Times New Roman" w:eastAsia="楷体"/>
          <w:bCs/>
          <w:sz w:val="21"/>
          <w:szCs w:val="21"/>
        </w:rPr>
        <w:t>如果因为乙方迟延交货、交货不符合合同约定或迟延履行其他义务导致甲方发生以下损失的，乙方除按照上述约定支付违约金外，还应当承担甲方遭受的全部损失：</w:t>
      </w:r>
    </w:p>
    <w:p>
      <w:pPr>
        <w:rPr>
          <w:rFonts w:ascii="Times New Roman" w:hAnsi="Times New Roman" w:eastAsia="楷体"/>
          <w:bCs/>
          <w:sz w:val="21"/>
          <w:szCs w:val="21"/>
        </w:rPr>
      </w:pPr>
      <w:r>
        <w:rPr>
          <w:rFonts w:ascii="Times New Roman" w:hAnsi="Times New Roman" w:eastAsia="楷体"/>
          <w:bCs/>
          <w:sz w:val="21"/>
          <w:szCs w:val="21"/>
        </w:rPr>
        <w:t>1)</w:t>
      </w:r>
      <w:r>
        <w:rPr>
          <w:rFonts w:ascii="Times New Roman" w:hAnsi="Times New Roman" w:eastAsia="楷体"/>
          <w:bCs/>
          <w:sz w:val="21"/>
          <w:szCs w:val="21"/>
        </w:rPr>
        <w:tab/>
      </w:r>
      <w:r>
        <w:rPr>
          <w:rFonts w:ascii="Times New Roman" w:hAnsi="Times New Roman" w:eastAsia="楷体"/>
          <w:bCs/>
          <w:sz w:val="21"/>
          <w:szCs w:val="21"/>
        </w:rPr>
        <w:t>甲方为维持正常生产运行，从其他供应商处紧急采购此类产品，紧急采购产品价格超过合同总价的损失；</w:t>
      </w:r>
    </w:p>
    <w:p>
      <w:pPr>
        <w:rPr>
          <w:rFonts w:ascii="Times New Roman" w:hAnsi="Times New Roman" w:eastAsia="楷体"/>
          <w:bCs/>
          <w:sz w:val="21"/>
          <w:szCs w:val="21"/>
        </w:rPr>
      </w:pPr>
      <w:r>
        <w:rPr>
          <w:rFonts w:ascii="Times New Roman" w:hAnsi="Times New Roman" w:eastAsia="楷体"/>
          <w:bCs/>
          <w:sz w:val="21"/>
          <w:szCs w:val="21"/>
        </w:rPr>
        <w:t>2)</w:t>
      </w:r>
      <w:r>
        <w:rPr>
          <w:rFonts w:ascii="Times New Roman" w:hAnsi="Times New Roman" w:eastAsia="楷体"/>
          <w:bCs/>
          <w:sz w:val="21"/>
          <w:szCs w:val="21"/>
        </w:rPr>
        <w:tab/>
      </w:r>
      <w:r>
        <w:rPr>
          <w:rFonts w:ascii="Times New Roman" w:hAnsi="Times New Roman" w:eastAsia="楷体"/>
          <w:bCs/>
          <w:sz w:val="21"/>
          <w:szCs w:val="21"/>
        </w:rPr>
        <w:t>甲方因正常生产运行受影响而造成的实际损失，包括但不限于采取补救措施产生的费用、生产设备损害的修理费用；</w:t>
      </w:r>
    </w:p>
    <w:p>
      <w:pPr>
        <w:rPr>
          <w:rFonts w:ascii="Times New Roman" w:hAnsi="Times New Roman" w:eastAsia="楷体"/>
          <w:bCs/>
          <w:sz w:val="21"/>
          <w:szCs w:val="21"/>
        </w:rPr>
      </w:pPr>
      <w:r>
        <w:rPr>
          <w:rFonts w:ascii="Times New Roman" w:hAnsi="Times New Roman" w:eastAsia="楷体"/>
          <w:bCs/>
          <w:sz w:val="21"/>
          <w:szCs w:val="21"/>
        </w:rPr>
        <w:t>3)</w:t>
      </w:r>
      <w:r>
        <w:rPr>
          <w:rFonts w:ascii="Times New Roman" w:hAnsi="Times New Roman" w:eastAsia="楷体"/>
          <w:bCs/>
          <w:sz w:val="21"/>
          <w:szCs w:val="21"/>
        </w:rPr>
        <w:tab/>
      </w:r>
      <w:r>
        <w:rPr>
          <w:rFonts w:ascii="Times New Roman" w:hAnsi="Times New Roman" w:eastAsia="楷体"/>
          <w:bCs/>
          <w:sz w:val="21"/>
          <w:szCs w:val="21"/>
        </w:rPr>
        <w:t>甲方因违反与客户签订的商务合同从而产生赔偿责任的损失；</w:t>
      </w:r>
    </w:p>
    <w:p>
      <w:pPr>
        <w:rPr>
          <w:rFonts w:ascii="Times New Roman" w:hAnsi="Times New Roman" w:eastAsia="楷体"/>
          <w:bCs/>
          <w:sz w:val="21"/>
          <w:szCs w:val="21"/>
        </w:rPr>
      </w:pPr>
      <w:r>
        <w:rPr>
          <w:rFonts w:ascii="Times New Roman" w:hAnsi="Times New Roman" w:eastAsia="楷体"/>
          <w:bCs/>
          <w:sz w:val="21"/>
          <w:szCs w:val="21"/>
        </w:rPr>
        <w:t>4)</w:t>
      </w:r>
      <w:r>
        <w:rPr>
          <w:rFonts w:ascii="Times New Roman" w:hAnsi="Times New Roman" w:eastAsia="楷体"/>
          <w:bCs/>
          <w:sz w:val="21"/>
          <w:szCs w:val="21"/>
        </w:rPr>
        <w:tab/>
      </w:r>
      <w:r>
        <w:rPr>
          <w:rFonts w:ascii="Times New Roman" w:hAnsi="Times New Roman" w:eastAsia="楷体"/>
          <w:bCs/>
          <w:sz w:val="21"/>
          <w:szCs w:val="21"/>
        </w:rPr>
        <w:t>甲方因生产运行出现问题从而受到政府部门行政处罚造成的损失；</w:t>
      </w:r>
    </w:p>
    <w:p>
      <w:pPr>
        <w:rPr>
          <w:rFonts w:ascii="Times New Roman" w:hAnsi="Times New Roman" w:eastAsia="楷体"/>
          <w:bCs/>
          <w:sz w:val="21"/>
          <w:szCs w:val="21"/>
        </w:rPr>
      </w:pPr>
      <w:r>
        <w:rPr>
          <w:rFonts w:ascii="Times New Roman" w:hAnsi="Times New Roman" w:eastAsia="楷体"/>
          <w:bCs/>
          <w:sz w:val="21"/>
          <w:szCs w:val="21"/>
        </w:rPr>
        <w:t>5)</w:t>
      </w:r>
      <w:r>
        <w:rPr>
          <w:rFonts w:ascii="Times New Roman" w:hAnsi="Times New Roman" w:eastAsia="楷体"/>
          <w:bCs/>
          <w:sz w:val="21"/>
          <w:szCs w:val="21"/>
        </w:rPr>
        <w:tab/>
      </w:r>
      <w:r>
        <w:rPr>
          <w:rFonts w:ascii="Times New Roman" w:hAnsi="Times New Roman" w:eastAsia="楷体"/>
          <w:bCs/>
          <w:sz w:val="21"/>
          <w:szCs w:val="21"/>
        </w:rPr>
        <w:t>甲方因此导致的其他损失或费用，包括</w:t>
      </w:r>
      <w:r>
        <w:rPr>
          <w:rFonts w:hint="eastAsia" w:ascii="Times New Roman" w:hAnsi="Times New Roman" w:eastAsia="楷体"/>
          <w:bCs/>
          <w:sz w:val="21"/>
          <w:szCs w:val="21"/>
        </w:rPr>
        <w:t>但不限于诉讼费、律师费、保全费、保全保险费、交通费、差旅费、鉴定费</w:t>
      </w:r>
      <w:r>
        <w:rPr>
          <w:rFonts w:ascii="Times New Roman" w:hAnsi="Times New Roman" w:eastAsia="楷体"/>
          <w:bCs/>
          <w:sz w:val="21"/>
          <w:szCs w:val="21"/>
        </w:rPr>
        <w:t>等相关费用。</w:t>
      </w:r>
    </w:p>
    <w:p>
      <w:pPr>
        <w:jc w:val="left"/>
        <w:rPr>
          <w:rFonts w:ascii="Times New Roman" w:hAnsi="Times New Roman" w:eastAsia="楷体"/>
          <w:bCs/>
          <w:sz w:val="21"/>
          <w:szCs w:val="21"/>
        </w:rPr>
      </w:pPr>
    </w:p>
    <w:p>
      <w:pPr>
        <w:pStyle w:val="31"/>
        <w:numPr>
          <w:ilvl w:val="0"/>
          <w:numId w:val="3"/>
        </w:numPr>
        <w:ind w:left="-141" w:firstLine="0" w:firstLineChars="0"/>
        <w:jc w:val="left"/>
        <w:rPr>
          <w:rFonts w:ascii="Times New Roman" w:hAnsi="Times New Roman" w:eastAsia="楷体"/>
          <w:b/>
          <w:bCs/>
          <w:sz w:val="21"/>
          <w:szCs w:val="21"/>
        </w:rPr>
      </w:pPr>
      <w:r>
        <w:rPr>
          <w:rFonts w:ascii="Times New Roman" w:hAnsi="Times New Roman" w:eastAsia="楷体"/>
          <w:b/>
          <w:bCs/>
          <w:sz w:val="21"/>
          <w:szCs w:val="21"/>
        </w:rPr>
        <w:t>转让与分包</w:t>
      </w:r>
    </w:p>
    <w:p>
      <w:pPr>
        <w:pStyle w:val="31"/>
        <w:numPr>
          <w:ilvl w:val="0"/>
          <w:numId w:val="0"/>
        </w:numPr>
        <w:ind w:leftChars="0"/>
        <w:rPr>
          <w:rFonts w:ascii="Times New Roman" w:hAnsi="Times New Roman" w:eastAsia="楷体"/>
          <w:sz w:val="21"/>
          <w:szCs w:val="21"/>
        </w:rPr>
      </w:pPr>
      <w:r>
        <w:rPr>
          <w:rFonts w:hint="eastAsia" w:ascii="Times New Roman" w:hAnsi="Times New Roman" w:eastAsia="楷体"/>
          <w:sz w:val="21"/>
          <w:szCs w:val="21"/>
          <w:lang w:val="en-US" w:eastAsia="zh-CN"/>
        </w:rPr>
        <w:t>8.1</w:t>
      </w:r>
      <w:r>
        <w:rPr>
          <w:rFonts w:hint="eastAsia" w:ascii="Times New Roman" w:hAnsi="Times New Roman" w:eastAsia="楷体"/>
          <w:sz w:val="21"/>
          <w:szCs w:val="21"/>
        </w:rPr>
        <w:t xml:space="preserve"> </w:t>
      </w:r>
      <w:r>
        <w:rPr>
          <w:rFonts w:ascii="Times New Roman" w:hAnsi="Times New Roman" w:eastAsia="楷体"/>
          <w:sz w:val="21"/>
          <w:szCs w:val="21"/>
        </w:rPr>
        <w:t>未经甲方事先书面同意，乙方不得分包本合同，</w:t>
      </w:r>
      <w:r>
        <w:rPr>
          <w:rFonts w:hint="eastAsia" w:ascii="Times New Roman" w:hAnsi="Times New Roman" w:eastAsia="楷体"/>
          <w:sz w:val="21"/>
          <w:szCs w:val="21"/>
          <w:lang w:val="en-US" w:eastAsia="zh-Hans"/>
        </w:rPr>
        <w:t>否则</w:t>
      </w:r>
      <w:r>
        <w:rPr>
          <w:rFonts w:hint="default" w:ascii="Times New Roman" w:hAnsi="Times New Roman" w:eastAsia="楷体"/>
          <w:sz w:val="21"/>
          <w:szCs w:val="21"/>
          <w:lang w:eastAsia="zh-Hans"/>
        </w:rPr>
        <w:t>，</w:t>
      </w:r>
      <w:r>
        <w:rPr>
          <w:rFonts w:hint="eastAsia" w:ascii="Times New Roman" w:hAnsi="Times New Roman" w:eastAsia="楷体"/>
          <w:sz w:val="21"/>
          <w:szCs w:val="21"/>
          <w:lang w:val="en-US" w:eastAsia="zh-Hans"/>
        </w:rPr>
        <w:t>乙方应向甲方支付相当于合同总价20%的违约金</w:t>
      </w:r>
      <w:r>
        <w:rPr>
          <w:rFonts w:ascii="Times New Roman" w:hAnsi="Times New Roman" w:eastAsia="楷体"/>
          <w:sz w:val="21"/>
          <w:szCs w:val="21"/>
        </w:rPr>
        <w:t>。如甲方</w:t>
      </w:r>
      <w:r>
        <w:rPr>
          <w:rFonts w:hint="eastAsia" w:ascii="Times New Roman" w:hAnsi="Times New Roman" w:eastAsia="楷体"/>
          <w:sz w:val="21"/>
          <w:szCs w:val="21"/>
          <w:lang w:val="en-US" w:eastAsia="zh-Hans"/>
        </w:rPr>
        <w:t>书面</w:t>
      </w:r>
      <w:r>
        <w:rPr>
          <w:rFonts w:ascii="Times New Roman" w:hAnsi="Times New Roman" w:eastAsia="楷体"/>
          <w:sz w:val="21"/>
          <w:szCs w:val="21"/>
        </w:rPr>
        <w:t>同意该等分包，乙方仍就分包商行为对甲方负责。</w:t>
      </w:r>
    </w:p>
    <w:p>
      <w:pPr>
        <w:pStyle w:val="31"/>
        <w:numPr>
          <w:ilvl w:val="0"/>
          <w:numId w:val="0"/>
        </w:numPr>
        <w:ind w:leftChars="0"/>
        <w:rPr>
          <w:rFonts w:ascii="Times New Roman" w:hAnsi="Times New Roman" w:eastAsia="楷体"/>
          <w:sz w:val="21"/>
          <w:szCs w:val="21"/>
        </w:rPr>
      </w:pPr>
      <w:r>
        <w:rPr>
          <w:rFonts w:hint="eastAsia" w:ascii="Times New Roman" w:hAnsi="Times New Roman" w:eastAsia="楷体"/>
          <w:sz w:val="21"/>
          <w:szCs w:val="21"/>
          <w:lang w:val="en-US" w:eastAsia="zh-CN"/>
        </w:rPr>
        <w:t>8.2</w:t>
      </w:r>
      <w:r>
        <w:rPr>
          <w:rFonts w:hint="eastAsia" w:ascii="Times New Roman" w:hAnsi="Times New Roman" w:eastAsia="楷体"/>
          <w:sz w:val="21"/>
          <w:szCs w:val="21"/>
        </w:rPr>
        <w:t xml:space="preserve"> </w:t>
      </w:r>
      <w:r>
        <w:rPr>
          <w:rFonts w:ascii="Times New Roman" w:hAnsi="Times New Roman" w:eastAsia="楷体"/>
          <w:sz w:val="21"/>
          <w:szCs w:val="21"/>
        </w:rPr>
        <w:t>未经对方事先书面同意，一方不得转让本合同。乙方控制权的变化应被视为转让。甲方可在事先书面通知乙方后将本合同的部分或全部转让给甲方关联公司。</w:t>
      </w:r>
    </w:p>
    <w:p>
      <w:pPr>
        <w:pStyle w:val="31"/>
        <w:numPr>
          <w:ilvl w:val="0"/>
          <w:numId w:val="3"/>
        </w:numPr>
        <w:ind w:left="-141" w:firstLine="0" w:firstLineChars="0"/>
        <w:jc w:val="left"/>
        <w:rPr>
          <w:rFonts w:ascii="Times New Roman" w:hAnsi="Times New Roman" w:eastAsia="楷体"/>
          <w:bCs/>
          <w:sz w:val="21"/>
          <w:szCs w:val="21"/>
        </w:rPr>
      </w:pPr>
      <w:r>
        <w:rPr>
          <w:rFonts w:ascii="Times New Roman" w:hAnsi="Times New Roman" w:eastAsia="楷体"/>
          <w:bCs/>
          <w:sz w:val="21"/>
          <w:szCs w:val="21"/>
        </w:rPr>
        <w:t>甲方可书面通知乙方终止全部或部分合同，乙方应予以配合。合同终止后，甲方应支付乙方实际已经</w:t>
      </w:r>
      <w:r>
        <w:rPr>
          <w:rFonts w:hint="eastAsia" w:ascii="Times New Roman" w:hAnsi="Times New Roman" w:eastAsia="楷体"/>
          <w:bCs/>
          <w:sz w:val="21"/>
          <w:szCs w:val="21"/>
          <w:lang w:val="en-US" w:eastAsia="zh-Hans"/>
        </w:rPr>
        <w:t>交付给甲方使用的产品金额</w:t>
      </w:r>
      <w:r>
        <w:rPr>
          <w:rFonts w:ascii="Times New Roman" w:hAnsi="Times New Roman" w:eastAsia="楷体"/>
          <w:bCs/>
          <w:sz w:val="21"/>
          <w:szCs w:val="21"/>
        </w:rPr>
        <w:t>，如乙方尚未</w:t>
      </w:r>
      <w:r>
        <w:rPr>
          <w:rFonts w:hint="eastAsia" w:ascii="Times New Roman" w:hAnsi="Times New Roman" w:eastAsia="楷体"/>
          <w:bCs/>
          <w:sz w:val="21"/>
          <w:szCs w:val="21"/>
          <w:lang w:val="en-US" w:eastAsia="zh-Hans"/>
        </w:rPr>
        <w:t>交付给甲方使用的产品</w:t>
      </w:r>
      <w:r>
        <w:rPr>
          <w:rFonts w:ascii="Times New Roman" w:hAnsi="Times New Roman" w:eastAsia="楷体"/>
          <w:bCs/>
          <w:sz w:val="21"/>
          <w:szCs w:val="21"/>
        </w:rPr>
        <w:t>，甲方不支付乙方任何款项。</w:t>
      </w:r>
    </w:p>
    <w:p>
      <w:pPr>
        <w:pStyle w:val="31"/>
        <w:numPr>
          <w:ilvl w:val="0"/>
          <w:numId w:val="3"/>
        </w:numPr>
        <w:ind w:left="-141" w:firstLine="0" w:firstLineChars="0"/>
        <w:jc w:val="left"/>
        <w:rPr>
          <w:rFonts w:ascii="Times New Roman" w:hAnsi="Times New Roman" w:eastAsia="楷体"/>
          <w:bCs/>
          <w:sz w:val="21"/>
          <w:szCs w:val="21"/>
        </w:rPr>
      </w:pPr>
      <w:r>
        <w:rPr>
          <w:rFonts w:ascii="Times New Roman" w:hAnsi="Times New Roman" w:eastAsia="楷体"/>
          <w:b/>
          <w:sz w:val="21"/>
          <w:szCs w:val="21"/>
        </w:rPr>
        <w:t xml:space="preserve">通知和传达 </w:t>
      </w:r>
    </w:p>
    <w:p>
      <w:pPr>
        <w:jc w:val="left"/>
        <w:rPr>
          <w:rFonts w:ascii="Times New Roman" w:hAnsi="Times New Roman" w:eastAsia="楷体"/>
          <w:bCs/>
          <w:sz w:val="21"/>
          <w:szCs w:val="21"/>
        </w:rPr>
      </w:pPr>
      <w:r>
        <w:rPr>
          <w:rFonts w:hint="eastAsia" w:ascii="Times New Roman" w:hAnsi="Times New Roman" w:eastAsia="楷体"/>
          <w:bCs/>
          <w:sz w:val="21"/>
          <w:szCs w:val="21"/>
          <w:lang w:val="en-US" w:eastAsia="zh-CN"/>
        </w:rPr>
        <w:t>10</w:t>
      </w:r>
      <w:r>
        <w:rPr>
          <w:rFonts w:hint="eastAsia" w:ascii="Times New Roman" w:hAnsi="Times New Roman" w:eastAsia="楷体"/>
          <w:bCs/>
          <w:sz w:val="21"/>
          <w:szCs w:val="21"/>
        </w:rPr>
        <w:t>1所有要求提供的书面通知或其他书面文件，均应当使用邮政专递</w:t>
      </w:r>
      <w:r>
        <w:rPr>
          <w:rFonts w:ascii="Times New Roman" w:hAnsi="Times New Roman" w:eastAsia="楷体"/>
          <w:bCs/>
          <w:sz w:val="21"/>
          <w:szCs w:val="21"/>
        </w:rPr>
        <w:t>(EMS)</w:t>
      </w:r>
      <w:r>
        <w:rPr>
          <w:rFonts w:hint="eastAsia" w:ascii="Times New Roman" w:hAnsi="Times New Roman" w:eastAsia="楷体"/>
          <w:bCs/>
          <w:sz w:val="21"/>
          <w:szCs w:val="21"/>
        </w:rPr>
        <w:t>、人工递交、挂号信、电子邮件方式进行送达。通知或其他文件应被送达至文首所述之联系地址和联系人。</w:t>
      </w:r>
    </w:p>
    <w:p>
      <w:pPr>
        <w:rPr>
          <w:rFonts w:ascii="Times New Roman" w:hAnsi="Times New Roman" w:eastAsia="楷体"/>
          <w:bCs/>
          <w:sz w:val="21"/>
          <w:szCs w:val="21"/>
        </w:rPr>
      </w:pPr>
      <w:r>
        <w:rPr>
          <w:rFonts w:hint="eastAsia" w:ascii="Times New Roman" w:hAnsi="Times New Roman" w:eastAsia="楷体"/>
          <w:bCs/>
          <w:sz w:val="21"/>
          <w:szCs w:val="21"/>
          <w:lang w:val="en-US" w:eastAsia="zh-CN"/>
        </w:rPr>
        <w:t>10</w:t>
      </w:r>
      <w:r>
        <w:rPr>
          <w:rFonts w:ascii="Times New Roman" w:hAnsi="Times New Roman" w:eastAsia="楷体"/>
          <w:bCs/>
          <w:sz w:val="21"/>
          <w:szCs w:val="21"/>
        </w:rPr>
        <w:t>.2除非另有规定，下列情形应当视作通知已经送达：</w:t>
      </w:r>
    </w:p>
    <w:p>
      <w:pPr>
        <w:jc w:val="left"/>
        <w:rPr>
          <w:rFonts w:ascii="Times New Roman" w:hAnsi="Times New Roman" w:eastAsia="楷体"/>
          <w:bCs/>
          <w:sz w:val="21"/>
          <w:szCs w:val="21"/>
        </w:rPr>
      </w:pPr>
      <w:r>
        <w:rPr>
          <w:rFonts w:ascii="Times New Roman" w:hAnsi="Times New Roman" w:eastAsia="楷体"/>
          <w:bCs/>
          <w:sz w:val="21"/>
          <w:szCs w:val="21"/>
        </w:rPr>
        <w:t>1)</w:t>
      </w:r>
      <w:r>
        <w:rPr>
          <w:rFonts w:ascii="Times New Roman" w:hAnsi="Times New Roman" w:eastAsia="楷体"/>
          <w:bCs/>
          <w:sz w:val="21"/>
          <w:szCs w:val="21"/>
        </w:rPr>
        <w:tab/>
      </w:r>
      <w:r>
        <w:rPr>
          <w:rFonts w:ascii="Times New Roman" w:hAnsi="Times New Roman" w:eastAsia="楷体"/>
          <w:bCs/>
          <w:sz w:val="21"/>
          <w:szCs w:val="21"/>
        </w:rPr>
        <w:t>如果使用邮政专递或人工递交方式，以文件送达对方地址并签收之日起视为送达；</w:t>
      </w:r>
    </w:p>
    <w:p>
      <w:pPr>
        <w:jc w:val="left"/>
        <w:rPr>
          <w:rFonts w:ascii="Times New Roman" w:hAnsi="Times New Roman" w:eastAsia="楷体"/>
          <w:bCs/>
          <w:sz w:val="21"/>
          <w:szCs w:val="21"/>
        </w:rPr>
      </w:pPr>
      <w:r>
        <w:rPr>
          <w:rFonts w:ascii="Times New Roman" w:hAnsi="Times New Roman" w:eastAsia="楷体"/>
          <w:bCs/>
          <w:sz w:val="21"/>
          <w:szCs w:val="21"/>
        </w:rPr>
        <w:t>2)</w:t>
      </w:r>
      <w:r>
        <w:rPr>
          <w:rFonts w:ascii="Times New Roman" w:hAnsi="Times New Roman" w:eastAsia="楷体"/>
          <w:bCs/>
          <w:sz w:val="21"/>
          <w:szCs w:val="21"/>
        </w:rPr>
        <w:tab/>
      </w:r>
      <w:r>
        <w:rPr>
          <w:rFonts w:ascii="Times New Roman" w:hAnsi="Times New Roman" w:eastAsia="楷体"/>
          <w:bCs/>
          <w:sz w:val="21"/>
          <w:szCs w:val="21"/>
        </w:rPr>
        <w:t>采取邮寄方式送达通知时，必须使用挂号信方式。如果采取挂号信方式，以挂号信回执上注明的收件日期为送达日；</w:t>
      </w:r>
    </w:p>
    <w:p>
      <w:pPr>
        <w:jc w:val="left"/>
        <w:rPr>
          <w:rFonts w:ascii="Times New Roman" w:hAnsi="Times New Roman" w:eastAsia="楷体"/>
          <w:bCs/>
          <w:sz w:val="21"/>
          <w:szCs w:val="21"/>
        </w:rPr>
      </w:pPr>
      <w:r>
        <w:rPr>
          <w:rFonts w:ascii="Times New Roman" w:hAnsi="Times New Roman" w:eastAsia="楷体"/>
          <w:bCs/>
          <w:sz w:val="21"/>
          <w:szCs w:val="21"/>
        </w:rPr>
        <w:t>3)</w:t>
      </w:r>
      <w:r>
        <w:rPr>
          <w:rFonts w:ascii="Times New Roman" w:hAnsi="Times New Roman" w:eastAsia="楷体"/>
          <w:bCs/>
          <w:sz w:val="21"/>
          <w:szCs w:val="21"/>
        </w:rPr>
        <w:tab/>
      </w:r>
      <w:r>
        <w:rPr>
          <w:rFonts w:ascii="Times New Roman" w:hAnsi="Times New Roman" w:eastAsia="楷体"/>
          <w:bCs/>
          <w:sz w:val="21"/>
          <w:szCs w:val="21"/>
        </w:rPr>
        <w:t>如果使用</w:t>
      </w:r>
      <w:r>
        <w:rPr>
          <w:rFonts w:hint="eastAsia" w:ascii="Times New Roman" w:hAnsi="Times New Roman" w:eastAsia="楷体"/>
          <w:bCs/>
          <w:sz w:val="21"/>
          <w:szCs w:val="21"/>
        </w:rPr>
        <w:t>电子邮件</w:t>
      </w:r>
      <w:r>
        <w:rPr>
          <w:rFonts w:ascii="Times New Roman" w:hAnsi="Times New Roman" w:eastAsia="楷体"/>
          <w:bCs/>
          <w:sz w:val="21"/>
          <w:szCs w:val="21"/>
        </w:rPr>
        <w:t>送达，</w:t>
      </w:r>
      <w:r>
        <w:rPr>
          <w:rFonts w:hint="eastAsia" w:ascii="Times New Roman" w:hAnsi="Times New Roman" w:eastAsia="楷体"/>
          <w:bCs/>
          <w:sz w:val="21"/>
          <w:szCs w:val="21"/>
        </w:rPr>
        <w:t>应按照文首的电子邮箱地址予以发送，发送的电子邮件一经发送，即视为邮件已送达，送达时间为该邮件在发信方服务器上所记录的发出时间。</w:t>
      </w:r>
    </w:p>
    <w:p>
      <w:pPr>
        <w:jc w:val="left"/>
        <w:rPr>
          <w:rFonts w:ascii="Times New Roman" w:hAnsi="Times New Roman" w:eastAsia="楷体"/>
          <w:bCs/>
          <w:sz w:val="21"/>
          <w:szCs w:val="21"/>
        </w:rPr>
      </w:pPr>
      <w:r>
        <w:rPr>
          <w:rFonts w:ascii="Times New Roman" w:hAnsi="Times New Roman" w:eastAsia="楷体"/>
          <w:bCs/>
          <w:sz w:val="21"/>
          <w:szCs w:val="21"/>
        </w:rPr>
        <w:t>4)  任何一方合同当事人指定的联系人或联系地址发生变动的，应在变更后3天内以书面形式通知对方，未及时通知的，对方给原联系人或按原联系地址发出的书面通知视同送达，影响本合同履行或造成损失的，应承担相应的责任。</w:t>
      </w:r>
    </w:p>
    <w:p>
      <w:pPr>
        <w:pStyle w:val="31"/>
        <w:numPr>
          <w:ilvl w:val="0"/>
          <w:numId w:val="3"/>
        </w:numPr>
        <w:ind w:left="-141" w:firstLine="0" w:firstLineChars="0"/>
        <w:jc w:val="left"/>
        <w:rPr>
          <w:rFonts w:ascii="Times New Roman" w:hAnsi="Times New Roman" w:eastAsia="楷体"/>
          <w:sz w:val="21"/>
          <w:szCs w:val="21"/>
        </w:rPr>
      </w:pPr>
      <w:r>
        <w:rPr>
          <w:rFonts w:ascii="Times New Roman" w:hAnsi="Times New Roman" w:eastAsia="楷体"/>
          <w:b/>
          <w:sz w:val="21"/>
          <w:szCs w:val="21"/>
        </w:rPr>
        <w:t>争议解决</w:t>
      </w:r>
    </w:p>
    <w:p>
      <w:pPr>
        <w:ind w:left="90" w:hanging="105" w:hangingChars="50"/>
        <w:rPr>
          <w:rFonts w:ascii="Times New Roman" w:hAnsi="Times New Roman" w:eastAsia="楷体"/>
          <w:sz w:val="21"/>
          <w:szCs w:val="21"/>
        </w:rPr>
      </w:pPr>
      <w:r>
        <w:rPr>
          <w:rFonts w:ascii="Times New Roman" w:hAnsi="Times New Roman" w:eastAsia="楷体"/>
          <w:sz w:val="21"/>
          <w:szCs w:val="21"/>
        </w:rPr>
        <w:t>双方如发生争议，任何一方有权向甲方所在地人民法院提起诉讼。</w:t>
      </w:r>
    </w:p>
    <w:p>
      <w:pPr>
        <w:pStyle w:val="31"/>
        <w:numPr>
          <w:ilvl w:val="0"/>
          <w:numId w:val="3"/>
        </w:numPr>
        <w:ind w:left="-141" w:firstLine="0" w:firstLineChars="0"/>
        <w:jc w:val="left"/>
        <w:rPr>
          <w:rFonts w:ascii="Times New Roman" w:hAnsi="Times New Roman" w:eastAsia="楷体"/>
          <w:b/>
          <w:sz w:val="21"/>
          <w:szCs w:val="21"/>
        </w:rPr>
      </w:pPr>
      <w:r>
        <w:rPr>
          <w:rFonts w:ascii="Times New Roman" w:hAnsi="Times New Roman" w:eastAsia="楷体"/>
          <w:b/>
          <w:sz w:val="21"/>
          <w:szCs w:val="21"/>
        </w:rPr>
        <w:t>本合同壹式肆份，双方各贰份，自双方签署之日起生效。</w:t>
      </w:r>
    </w:p>
    <w:p>
      <w:pPr>
        <w:rPr>
          <w:rFonts w:hint="eastAsia" w:ascii="宋体" w:hAnsi="宋体" w:eastAsia="宋体" w:cs="Times New Roman"/>
          <w:b/>
          <w:kern w:val="2"/>
          <w:sz w:val="21"/>
          <w:szCs w:val="21"/>
          <w:lang w:val="en-US" w:eastAsia="zh-CN" w:bidi="ar-SA"/>
        </w:rPr>
      </w:pPr>
    </w:p>
    <w:p>
      <w:pPr>
        <w:rPr>
          <w:rFonts w:ascii="宋体" w:hAnsi="宋体"/>
          <w:b/>
          <w:sz w:val="21"/>
          <w:szCs w:val="21"/>
        </w:rPr>
      </w:pPr>
      <w:r>
        <w:rPr>
          <w:rFonts w:hint="eastAsia" w:ascii="宋体" w:hAnsi="宋体" w:eastAsia="宋体" w:cs="Times New Roman"/>
          <w:b/>
          <w:kern w:val="2"/>
          <w:sz w:val="21"/>
          <w:szCs w:val="21"/>
          <w:lang w:val="en-US" w:eastAsia="zh-CN" w:bidi="ar-SA"/>
        </w:rPr>
        <w:t>附：附件一：</w:t>
      </w:r>
      <w:r>
        <w:rPr>
          <w:rFonts w:ascii="Times New Roman" w:hAnsi="Times New Roman" w:eastAsia="楷体"/>
          <w:b/>
          <w:kern w:val="0"/>
          <w:sz w:val="21"/>
          <w:szCs w:val="21"/>
        </w:rPr>
        <w:t xml:space="preserve"> </w:t>
      </w:r>
      <w:r>
        <w:rPr>
          <w:rFonts w:hint="eastAsia" w:ascii="宋体" w:hAnsi="宋体"/>
          <w:b/>
          <w:sz w:val="21"/>
          <w:szCs w:val="21"/>
        </w:rPr>
        <w:t>供货清单及参数表</w:t>
      </w:r>
    </w:p>
    <w:p>
      <w:pPr>
        <w:pStyle w:val="2"/>
        <w:ind w:firstLine="420" w:firstLineChars="200"/>
        <w:rPr>
          <w:sz w:val="21"/>
          <w:szCs w:val="21"/>
        </w:rPr>
      </w:pPr>
      <w:r>
        <w:rPr>
          <w:rFonts w:hint="eastAsia" w:ascii="宋体" w:hAnsi="宋体"/>
          <w:b/>
          <w:sz w:val="21"/>
          <w:szCs w:val="21"/>
        </w:rPr>
        <w:t>附件二：廉政协议书</w:t>
      </w:r>
    </w:p>
    <w:p>
      <w:pPr>
        <w:autoSpaceDE w:val="0"/>
        <w:autoSpaceDN w:val="0"/>
        <w:adjustRightInd w:val="0"/>
        <w:jc w:val="left"/>
        <w:rPr>
          <w:rFonts w:ascii="Times New Roman" w:hAnsi="Times New Roman" w:eastAsia="楷体"/>
          <w:b/>
          <w:kern w:val="0"/>
          <w:sz w:val="21"/>
          <w:szCs w:val="21"/>
          <w:u w:val="single"/>
        </w:rPr>
      </w:pPr>
      <w:r>
        <w:rPr>
          <w:rFonts w:ascii="Times New Roman" w:hAnsi="Times New Roman" w:eastAsia="楷体"/>
          <w:b/>
          <w:kern w:val="0"/>
          <w:sz w:val="21"/>
          <w:szCs w:val="21"/>
          <w:u w:val="single"/>
        </w:rPr>
        <w:t xml:space="preserve">                      </w:t>
      </w:r>
    </w:p>
    <w:tbl>
      <w:tblPr>
        <w:tblStyle w:val="21"/>
        <w:tblpPr w:leftFromText="180" w:rightFromText="180" w:vertAnchor="text" w:horzAnchor="page" w:tblpX="1056" w:tblpY="300"/>
        <w:tblOverlap w:val="never"/>
        <w:tblW w:w="10059" w:type="dxa"/>
        <w:tblInd w:w="0"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108" w:type="dxa"/>
          <w:bottom w:w="0" w:type="dxa"/>
          <w:right w:w="108" w:type="dxa"/>
        </w:tblCellMar>
      </w:tblPr>
      <w:tblGrid>
        <w:gridCol w:w="5131"/>
        <w:gridCol w:w="4928"/>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666" w:hRule="atLeast"/>
        </w:trPr>
        <w:tc>
          <w:tcPr>
            <w:tcW w:w="5131" w:type="dxa"/>
            <w:tcBorders>
              <w:top w:val="single" w:color="000000" w:sz="4" w:space="0"/>
            </w:tcBorders>
            <w:vAlign w:val="center"/>
          </w:tcPr>
          <w:p>
            <w:pPr>
              <w:jc w:val="center"/>
              <w:rPr>
                <w:rFonts w:ascii="Times New Roman" w:hAnsi="Times New Roman" w:eastAsia="楷体"/>
                <w:b/>
                <w:sz w:val="21"/>
                <w:szCs w:val="21"/>
              </w:rPr>
            </w:pPr>
            <w:r>
              <w:rPr>
                <w:rFonts w:ascii="Times New Roman" w:hAnsi="Times New Roman" w:eastAsia="楷体"/>
                <w:b/>
                <w:sz w:val="21"/>
                <w:szCs w:val="21"/>
              </w:rPr>
              <w:t>购货方/甲方</w:t>
            </w:r>
          </w:p>
        </w:tc>
        <w:tc>
          <w:tcPr>
            <w:tcW w:w="4928" w:type="dxa"/>
            <w:tcBorders>
              <w:top w:val="single" w:color="000000" w:sz="4" w:space="0"/>
            </w:tcBorders>
            <w:vAlign w:val="center"/>
          </w:tcPr>
          <w:p>
            <w:pPr>
              <w:jc w:val="center"/>
              <w:rPr>
                <w:rFonts w:ascii="Times New Roman" w:hAnsi="Times New Roman" w:eastAsia="楷体"/>
                <w:sz w:val="21"/>
                <w:szCs w:val="21"/>
              </w:rPr>
            </w:pPr>
            <w:r>
              <w:rPr>
                <w:rFonts w:hint="eastAsia" w:ascii="Times New Roman" w:hAnsi="Times New Roman" w:eastAsia="楷体"/>
                <w:b/>
                <w:sz w:val="21"/>
                <w:szCs w:val="21"/>
                <w:lang w:eastAsia="zh-CN"/>
              </w:rPr>
              <w:t>供</w:t>
            </w:r>
            <w:r>
              <w:rPr>
                <w:rFonts w:ascii="Times New Roman" w:hAnsi="Times New Roman" w:eastAsia="楷体"/>
                <w:b/>
                <w:sz w:val="21"/>
                <w:szCs w:val="21"/>
              </w:rPr>
              <w:t>货方/</w:t>
            </w:r>
            <w:r>
              <w:rPr>
                <w:rFonts w:hint="eastAsia" w:ascii="Times New Roman" w:hAnsi="Times New Roman" w:eastAsia="楷体"/>
                <w:b/>
                <w:sz w:val="21"/>
                <w:szCs w:val="21"/>
                <w:lang w:eastAsia="zh-CN"/>
              </w:rPr>
              <w:t>乙</w:t>
            </w:r>
            <w:r>
              <w:rPr>
                <w:rFonts w:ascii="Times New Roman" w:hAnsi="Times New Roman" w:eastAsia="楷体"/>
                <w:b/>
                <w:sz w:val="21"/>
                <w:szCs w:val="21"/>
              </w:rPr>
              <w:t>方</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667" w:hRule="atLeast"/>
        </w:trPr>
        <w:tc>
          <w:tcPr>
            <w:tcW w:w="5131" w:type="dxa"/>
            <w:vAlign w:val="center"/>
          </w:tcPr>
          <w:p>
            <w:pPr>
              <w:jc w:val="both"/>
              <w:rPr>
                <w:rFonts w:ascii="Times New Roman" w:hAnsi="Times New Roman" w:eastAsia="楷体" w:cs="Times New Roman"/>
                <w:b/>
                <w:sz w:val="21"/>
                <w:szCs w:val="21"/>
              </w:rPr>
            </w:pPr>
            <w:bookmarkStart w:id="26" w:name="OLE_LINK5"/>
            <w:bookmarkStart w:id="27" w:name="OLE_LINK6"/>
          </w:p>
          <w:p>
            <w:pPr>
              <w:jc w:val="both"/>
              <w:rPr>
                <w:rFonts w:hint="eastAsia" w:ascii="Times New Roman" w:hAnsi="Times New Roman" w:eastAsia="楷体" w:cs="Times New Roman"/>
                <w:b/>
                <w:sz w:val="21"/>
                <w:szCs w:val="21"/>
                <w:lang w:eastAsia="zh-CN"/>
              </w:rPr>
            </w:pPr>
            <w:r>
              <w:rPr>
                <w:rFonts w:ascii="Times New Roman" w:hAnsi="Times New Roman" w:eastAsia="楷体" w:cs="Times New Roman"/>
                <w:b/>
                <w:sz w:val="21"/>
                <w:szCs w:val="21"/>
              </w:rPr>
              <w:t>单位名称(章)：</w:t>
            </w:r>
            <w:r>
              <w:rPr>
                <w:rFonts w:hint="eastAsia" w:ascii="Times New Roman" w:hAnsi="Times New Roman" w:eastAsia="楷体" w:cs="Times New Roman"/>
                <w:b/>
                <w:sz w:val="21"/>
                <w:szCs w:val="21"/>
                <w:lang w:val="en-US" w:eastAsia="zh-CN"/>
              </w:rPr>
              <w:t xml:space="preserve"> </w:t>
            </w:r>
          </w:p>
          <w:p>
            <w:pPr>
              <w:jc w:val="both"/>
              <w:rPr>
                <w:rFonts w:ascii="Times New Roman" w:hAnsi="Times New Roman" w:eastAsia="楷体" w:cs="Times New Roman"/>
                <w:b/>
                <w:sz w:val="21"/>
                <w:szCs w:val="21"/>
              </w:rPr>
            </w:pPr>
            <w:r>
              <w:rPr>
                <w:rFonts w:ascii="Times New Roman" w:hAnsi="Times New Roman" w:eastAsia="楷体" w:cs="Times New Roman"/>
                <w:b/>
                <w:sz w:val="21"/>
                <w:szCs w:val="21"/>
              </w:rPr>
              <w:t xml:space="preserve"> </w:t>
            </w:r>
            <w:bookmarkEnd w:id="26"/>
            <w:bookmarkEnd w:id="27"/>
            <w:r>
              <w:rPr>
                <w:rFonts w:ascii="Times New Roman" w:hAnsi="Times New Roman" w:eastAsia="楷体" w:cs="Times New Roman"/>
                <w:b/>
                <w:sz w:val="21"/>
                <w:szCs w:val="21"/>
              </w:rPr>
              <w:t xml:space="preserve">   </w:t>
            </w:r>
          </w:p>
        </w:tc>
        <w:tc>
          <w:tcPr>
            <w:tcW w:w="4928" w:type="dxa"/>
            <w:vAlign w:val="center"/>
          </w:tcPr>
          <w:p>
            <w:pPr>
              <w:jc w:val="both"/>
              <w:rPr>
                <w:rFonts w:hint="eastAsia" w:ascii="Times New Roman" w:hAnsi="Times New Roman" w:eastAsia="楷体"/>
                <w:sz w:val="21"/>
                <w:szCs w:val="21"/>
                <w:lang w:eastAsia="zh-CN"/>
              </w:rPr>
            </w:pPr>
            <w:r>
              <w:rPr>
                <w:rFonts w:ascii="Times New Roman" w:hAnsi="Times New Roman" w:eastAsia="楷体" w:cs="Times New Roman"/>
                <w:b/>
                <w:sz w:val="21"/>
                <w:szCs w:val="21"/>
              </w:rPr>
              <w:t>单位名称(章)：</w:t>
            </w:r>
            <w:r>
              <w:rPr>
                <w:rFonts w:hint="eastAsia" w:ascii="Times New Roman" w:hAnsi="Times New Roman" w:eastAsia="楷体" w:cs="Times New Roman"/>
                <w:b/>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714" w:hRule="atLeast"/>
        </w:trPr>
        <w:tc>
          <w:tcPr>
            <w:tcW w:w="5131" w:type="dxa"/>
          </w:tcPr>
          <w:p>
            <w:pPr>
              <w:jc w:val="both"/>
              <w:rPr>
                <w:rFonts w:hint="eastAsia" w:ascii="Times New Roman" w:hAnsi="Times New Roman" w:eastAsia="楷体" w:cs="Times New Roman"/>
                <w:b w:val="0"/>
                <w:bCs/>
                <w:sz w:val="21"/>
                <w:szCs w:val="21"/>
                <w:lang w:val="en-US" w:eastAsia="zh-CN"/>
              </w:rPr>
            </w:pPr>
            <w:r>
              <w:rPr>
                <w:rFonts w:ascii="Times New Roman" w:hAnsi="Times New Roman" w:eastAsia="楷体" w:cs="Times New Roman"/>
                <w:b/>
                <w:bCs w:val="0"/>
                <w:sz w:val="21"/>
                <w:szCs w:val="21"/>
              </w:rPr>
              <w:t>单位地址：</w:t>
            </w:r>
            <w:r>
              <w:rPr>
                <w:rFonts w:ascii="Times New Roman" w:hAnsi="Times New Roman" w:eastAsia="楷体" w:cs="Times New Roman"/>
                <w:b w:val="0"/>
                <w:bCs/>
                <w:sz w:val="21"/>
                <w:szCs w:val="21"/>
              </w:rPr>
              <w:t xml:space="preserve"> </w:t>
            </w:r>
            <w:r>
              <w:rPr>
                <w:rFonts w:hint="eastAsia" w:ascii="Times New Roman" w:hAnsi="Times New Roman" w:eastAsia="楷体" w:cs="Times New Roman"/>
                <w:b w:val="0"/>
                <w:bCs/>
                <w:sz w:val="21"/>
                <w:szCs w:val="21"/>
                <w:lang w:val="en-US" w:eastAsia="zh-CN"/>
              </w:rPr>
              <w:t xml:space="preserve"> </w:t>
            </w:r>
          </w:p>
          <w:p>
            <w:pPr>
              <w:pStyle w:val="2"/>
            </w:pPr>
          </w:p>
          <w:p>
            <w:pPr>
              <w:jc w:val="both"/>
              <w:rPr>
                <w:rFonts w:hint="eastAsia" w:ascii="Times New Roman" w:hAnsi="Times New Roman" w:eastAsia="楷体" w:cs="Times New Roman"/>
                <w:b/>
                <w:sz w:val="21"/>
                <w:szCs w:val="21"/>
                <w:lang w:eastAsia="zh-CN"/>
              </w:rPr>
            </w:pPr>
            <w:r>
              <w:rPr>
                <w:rFonts w:ascii="Times New Roman" w:hAnsi="Times New Roman" w:eastAsia="楷体" w:cs="Times New Roman"/>
                <w:b/>
                <w:bCs w:val="0"/>
                <w:sz w:val="21"/>
                <w:szCs w:val="21"/>
              </w:rPr>
              <w:t>纳税人识别号：</w:t>
            </w:r>
            <w:r>
              <w:rPr>
                <w:rFonts w:hint="eastAsia" w:ascii="Times New Roman" w:hAnsi="Times New Roman" w:eastAsia="楷体" w:cs="Times New Roman"/>
                <w:b w:val="0"/>
                <w:bCs/>
                <w:sz w:val="21"/>
                <w:szCs w:val="21"/>
                <w:lang w:val="en-US" w:eastAsia="zh-CN"/>
              </w:rPr>
              <w:t xml:space="preserve"> </w:t>
            </w:r>
          </w:p>
        </w:tc>
        <w:tc>
          <w:tcPr>
            <w:tcW w:w="4928" w:type="dxa"/>
          </w:tcPr>
          <w:p>
            <w:pPr>
              <w:jc w:val="both"/>
              <w:rPr>
                <w:rFonts w:hint="eastAsia"/>
                <w:lang w:val="en-US" w:eastAsia="zh-CN"/>
              </w:rPr>
            </w:pPr>
            <w:r>
              <w:rPr>
                <w:rFonts w:ascii="Times New Roman" w:hAnsi="Times New Roman" w:eastAsia="楷体" w:cs="Times New Roman"/>
                <w:b/>
                <w:bCs w:val="0"/>
                <w:sz w:val="21"/>
                <w:szCs w:val="21"/>
              </w:rPr>
              <w:t>单位地址：</w:t>
            </w:r>
            <w:r>
              <w:rPr>
                <w:rFonts w:ascii="Times New Roman" w:hAnsi="Times New Roman" w:eastAsia="楷体" w:cs="Times New Roman"/>
                <w:b w:val="0"/>
                <w:bCs/>
                <w:sz w:val="21"/>
                <w:szCs w:val="21"/>
              </w:rPr>
              <w:t xml:space="preserve"> </w:t>
            </w:r>
            <w:r>
              <w:rPr>
                <w:rFonts w:hint="eastAsia" w:ascii="Times New Roman" w:hAnsi="Times New Roman" w:eastAsia="楷体" w:cs="Times New Roman"/>
                <w:b w:val="0"/>
                <w:bCs/>
                <w:sz w:val="21"/>
                <w:szCs w:val="21"/>
                <w:lang w:val="en-US" w:eastAsia="zh-CN"/>
              </w:rPr>
              <w:t xml:space="preserve"> </w:t>
            </w:r>
          </w:p>
          <w:p>
            <w:pPr>
              <w:rPr>
                <w:rFonts w:hint="eastAsia" w:ascii="Times New Roman" w:hAnsi="Times New Roman" w:eastAsia="楷体" w:cs="Times New Roman"/>
                <w:b w:val="0"/>
                <w:bCs/>
                <w:sz w:val="21"/>
                <w:szCs w:val="21"/>
                <w:lang w:eastAsia="zh-CN"/>
              </w:rPr>
            </w:pPr>
            <w:r>
              <w:rPr>
                <w:rFonts w:ascii="Times New Roman" w:hAnsi="Times New Roman" w:eastAsia="楷体" w:cs="Times New Roman"/>
                <w:b/>
                <w:bCs w:val="0"/>
                <w:sz w:val="21"/>
                <w:szCs w:val="21"/>
              </w:rPr>
              <w:t>纳税人识别号：</w:t>
            </w:r>
            <w:r>
              <w:rPr>
                <w:rFonts w:hint="eastAsia" w:ascii="Times New Roman" w:hAnsi="Times New Roman" w:eastAsia="楷体" w:cs="Times New Roman"/>
                <w:b w:val="0"/>
                <w:bCs/>
                <w:sz w:val="21"/>
                <w:szCs w:val="21"/>
                <w:lang w:val="en-US" w:eastAsia="zh-CN"/>
              </w:rPr>
              <w:t xml:space="preserve"> </w:t>
            </w:r>
          </w:p>
          <w:p>
            <w:pPr>
              <w:rPr>
                <w:rFonts w:hint="eastAsia" w:ascii="Times New Roman" w:hAnsi="Times New Roman" w:eastAsia="楷体"/>
                <w:sz w:val="21"/>
                <w:szCs w:val="21"/>
              </w:rPr>
            </w:pPr>
            <w:r>
              <w:rPr>
                <w:rFonts w:hint="eastAsia" w:ascii="Times New Roman" w:hAnsi="Times New Roman" w:eastAsia="楷体"/>
                <w:b/>
                <w:bCs/>
                <w:sz w:val="21"/>
                <w:szCs w:val="21"/>
              </w:rPr>
              <w:t>开户行：</w:t>
            </w:r>
            <w:r>
              <w:rPr>
                <w:rFonts w:hint="eastAsia" w:ascii="Times New Roman" w:hAnsi="Times New Roman" w:eastAsia="楷体"/>
                <w:sz w:val="21"/>
                <w:szCs w:val="21"/>
                <w:lang w:val="en-US" w:eastAsia="zh-CN"/>
              </w:rPr>
              <w:t xml:space="preserve"> </w:t>
            </w:r>
            <w:r>
              <w:rPr>
                <w:rFonts w:hint="eastAsia" w:ascii="Times New Roman" w:hAnsi="Times New Roman" w:eastAsia="楷体"/>
                <w:sz w:val="21"/>
                <w:szCs w:val="21"/>
              </w:rPr>
              <w:t xml:space="preserve"> </w:t>
            </w:r>
          </w:p>
          <w:p>
            <w:pPr>
              <w:rPr>
                <w:rFonts w:hint="eastAsia" w:ascii="Times New Roman" w:hAnsi="Times New Roman" w:eastAsia="楷体"/>
                <w:sz w:val="21"/>
                <w:szCs w:val="21"/>
                <w:lang w:eastAsia="zh-CN"/>
              </w:rPr>
            </w:pPr>
            <w:r>
              <w:rPr>
                <w:rFonts w:hint="eastAsia" w:ascii="Times New Roman" w:hAnsi="Times New Roman" w:eastAsia="楷体"/>
                <w:b/>
                <w:bCs/>
                <w:sz w:val="21"/>
                <w:szCs w:val="21"/>
              </w:rPr>
              <w:t>账号：</w:t>
            </w:r>
            <w:r>
              <w:rPr>
                <w:rFonts w:hint="eastAsia" w:ascii="Times New Roman" w:hAnsi="Times New Roman" w:eastAsia="楷体"/>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50" w:hRule="atLeast"/>
        </w:trPr>
        <w:tc>
          <w:tcPr>
            <w:tcW w:w="5131" w:type="dxa"/>
          </w:tcPr>
          <w:p>
            <w:pPr>
              <w:rPr>
                <w:rFonts w:hint="eastAsia"/>
              </w:rPr>
            </w:pPr>
            <w:r>
              <w:rPr>
                <w:rFonts w:hint="eastAsia"/>
              </w:rPr>
              <w:t>法定代表人</w:t>
            </w:r>
          </w:p>
          <w:p>
            <w:r>
              <w:rPr>
                <w:rFonts w:hint="eastAsia"/>
              </w:rPr>
              <w:t>或授权代表</w:t>
            </w:r>
            <w:r>
              <w:rPr>
                <w:rFonts w:hint="eastAsia"/>
                <w:lang w:eastAsia="zh-CN"/>
              </w:rPr>
              <w:t>（签字）</w:t>
            </w:r>
            <w:r>
              <w:t xml:space="preserve">： </w:t>
            </w:r>
          </w:p>
          <w:p>
            <w:r>
              <w:t>电  话：</w:t>
            </w:r>
          </w:p>
          <w:p>
            <w:pPr>
              <w:pStyle w:val="2"/>
            </w:pPr>
          </w:p>
        </w:tc>
        <w:tc>
          <w:tcPr>
            <w:tcW w:w="4928" w:type="dxa"/>
          </w:tcPr>
          <w:p>
            <w:pPr>
              <w:rPr>
                <w:rFonts w:hint="eastAsia"/>
              </w:rPr>
            </w:pPr>
            <w:r>
              <w:rPr>
                <w:rFonts w:hint="eastAsia"/>
              </w:rPr>
              <w:t>法定代表人</w:t>
            </w:r>
          </w:p>
          <w:p>
            <w:r>
              <w:rPr>
                <w:rFonts w:hint="eastAsia"/>
              </w:rPr>
              <w:t>或授权代表</w:t>
            </w:r>
            <w:r>
              <w:rPr>
                <w:rFonts w:hint="eastAsia"/>
                <w:lang w:eastAsia="zh-CN"/>
              </w:rPr>
              <w:t>（签字）</w:t>
            </w:r>
            <w:r>
              <w:t xml:space="preserve">： </w:t>
            </w:r>
          </w:p>
          <w:p>
            <w:r>
              <w:t>电  话：</w:t>
            </w:r>
          </w:p>
          <w:p>
            <w:pPr>
              <w:rPr>
                <w:rFonts w:hint="eastAsia" w:ascii="Times New Roman" w:hAnsi="Times New Roman" w:eastAsia="楷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92" w:hRule="atLeast"/>
        </w:trPr>
        <w:tc>
          <w:tcPr>
            <w:tcW w:w="5131" w:type="dxa"/>
            <w:tcBorders>
              <w:bottom w:val="single" w:color="000000" w:sz="4" w:space="0"/>
            </w:tcBorders>
          </w:tcPr>
          <w:p/>
          <w:p>
            <w:pPr>
              <w:pStyle w:val="2"/>
              <w:ind w:firstLine="720" w:firstLineChars="400"/>
            </w:pPr>
            <w:r>
              <w:rPr>
                <w:rFonts w:hint="eastAsia"/>
              </w:rPr>
              <w:t xml:space="preserve">签署日期：  </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月    日</w:t>
            </w:r>
          </w:p>
        </w:tc>
        <w:tc>
          <w:tcPr>
            <w:tcW w:w="4928" w:type="dxa"/>
            <w:tcBorders>
              <w:bottom w:val="single" w:color="000000" w:sz="4" w:space="0"/>
            </w:tcBorders>
          </w:tcPr>
          <w:p/>
          <w:p>
            <w:pPr>
              <w:pStyle w:val="2"/>
              <w:ind w:firstLine="900" w:firstLineChars="500"/>
            </w:pPr>
            <w:r>
              <w:rPr>
                <w:rFonts w:hint="eastAsia"/>
              </w:rPr>
              <w:t xml:space="preserve">签署日期：  </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月    日</w:t>
            </w:r>
          </w:p>
        </w:tc>
      </w:tr>
    </w:tbl>
    <w:p>
      <w:pPr>
        <w:ind w:left="90" w:hanging="105" w:hangingChars="50"/>
        <w:rPr>
          <w:rFonts w:ascii="Times New Roman" w:hAnsi="Times New Roman" w:eastAsia="楷体"/>
          <w:b/>
          <w:color w:val="000000"/>
          <w:sz w:val="21"/>
          <w:szCs w:val="21"/>
        </w:rPr>
      </w:pPr>
    </w:p>
    <w:p>
      <w:pPr>
        <w:widowControl/>
        <w:jc w:val="left"/>
        <w:rPr>
          <w:rFonts w:ascii="楷体" w:hAnsi="楷体" w:eastAsia="楷体"/>
          <w:sz w:val="21"/>
          <w:szCs w:val="21"/>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廉政</w:t>
      </w:r>
      <w:r>
        <w:rPr>
          <w:rFonts w:hint="eastAsia" w:ascii="方正小标宋简体" w:hAnsi="方正小标宋简体" w:eastAsia="方正小标宋简体" w:cs="方正小标宋简体"/>
          <w:b w:val="0"/>
          <w:bCs w:val="0"/>
          <w:color w:val="000000"/>
          <w:sz w:val="44"/>
          <w:szCs w:val="44"/>
          <w:lang w:val="en-US" w:eastAsia="zh-CN"/>
        </w:rPr>
        <w:t>承诺协议</w:t>
      </w:r>
      <w:r>
        <w:rPr>
          <w:rFonts w:hint="eastAsia" w:ascii="方正小标宋简体" w:hAnsi="方正小标宋简体" w:eastAsia="方正小标宋简体" w:cs="方正小标宋简体"/>
          <w:b w:val="0"/>
          <w:bCs w:val="0"/>
          <w:color w:val="000000"/>
          <w:sz w:val="44"/>
          <w:szCs w:val="44"/>
          <w:lang w:eastAsia="zh-CN"/>
        </w:rPr>
        <w:t>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甲方：广西自贸区钦州港片区开发投资集团有限</w:t>
      </w:r>
      <w:r>
        <w:rPr>
          <w:rFonts w:hint="eastAsia" w:ascii="仿宋_GB2312" w:hAnsi="仿宋_GB2312" w:eastAsia="仿宋_GB2312" w:cs="仿宋_GB2312"/>
          <w:color w:val="000000"/>
          <w:sz w:val="24"/>
          <w:szCs w:val="24"/>
          <w:lang w:val="en-US" w:eastAsia="zh-CN"/>
        </w:rPr>
        <w:t>责任</w:t>
      </w:r>
      <w:r>
        <w:rPr>
          <w:rFonts w:hint="eastAsia" w:ascii="仿宋_GB2312" w:hAnsi="仿宋_GB2312" w:eastAsia="仿宋_GB2312" w:cs="仿宋_GB2312"/>
          <w:color w:val="000000"/>
          <w:sz w:val="24"/>
          <w:szCs w:val="24"/>
        </w:rPr>
        <w:t>公司</w:t>
      </w:r>
      <w:r>
        <w:rPr>
          <w:rFonts w:hint="eastAsia" w:ascii="仿宋_GB2312" w:hAnsi="仿宋_GB2312" w:eastAsia="仿宋_GB2312" w:cs="仿宋_GB2312"/>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乙方：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为加强廉政建设，从制度机制上杜绝不廉洁行为，维护双方企业的利益，根据廉政建设的有关规定，</w:t>
      </w:r>
      <w:r>
        <w:rPr>
          <w:rFonts w:hint="eastAsia" w:ascii="仿宋_GB2312" w:hAnsi="仿宋_GB2312" w:eastAsia="仿宋_GB2312" w:cs="仿宋_GB2312"/>
          <w:color w:val="000000"/>
          <w:sz w:val="24"/>
          <w:szCs w:val="24"/>
          <w:lang w:eastAsia="zh-CN"/>
        </w:rPr>
        <w:t>经双方协商，同意订立本廉政</w:t>
      </w:r>
      <w:r>
        <w:rPr>
          <w:rFonts w:hint="eastAsia" w:ascii="仿宋_GB2312" w:hAnsi="仿宋_GB2312" w:eastAsia="仿宋_GB2312" w:cs="仿宋_GB2312"/>
          <w:color w:val="000000"/>
          <w:sz w:val="24"/>
          <w:szCs w:val="24"/>
          <w:lang w:val="en-US" w:eastAsia="zh-CN"/>
        </w:rPr>
        <w:t>协议书</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一、双方的廉政承诺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一</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严格遵守国家有关法律法规及上级主管单位的有关规定。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（二）</w:t>
      </w:r>
      <w:r>
        <w:rPr>
          <w:rFonts w:hint="eastAsia" w:ascii="仿宋_GB2312" w:hAnsi="仿宋_GB2312" w:eastAsia="仿宋_GB2312" w:cs="仿宋_GB2312"/>
          <w:color w:val="000000"/>
          <w:sz w:val="24"/>
          <w:szCs w:val="24"/>
        </w:rPr>
        <w:t>严格执行合同规定，自觉按合同办事。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（三）</w:t>
      </w:r>
      <w:r>
        <w:rPr>
          <w:rFonts w:hint="eastAsia" w:ascii="仿宋_GB2312" w:hAnsi="仿宋_GB2312" w:eastAsia="仿宋_GB2312" w:cs="仿宋_GB2312"/>
          <w:color w:val="000000"/>
          <w:sz w:val="24"/>
          <w:szCs w:val="24"/>
          <w:lang w:eastAsia="zh-CN"/>
        </w:rPr>
        <w:t>在</w:t>
      </w:r>
      <w:r>
        <w:rPr>
          <w:rFonts w:hint="eastAsia" w:ascii="仿宋_GB2312" w:hAnsi="仿宋_GB2312" w:eastAsia="仿宋_GB2312" w:cs="仿宋_GB2312"/>
          <w:color w:val="000000"/>
          <w:sz w:val="24"/>
          <w:szCs w:val="24"/>
        </w:rPr>
        <w:t>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（四）</w:t>
      </w:r>
      <w:r>
        <w:rPr>
          <w:rFonts w:hint="eastAsia" w:ascii="仿宋_GB2312" w:hAnsi="仿宋_GB2312" w:eastAsia="仿宋_GB2312" w:cs="仿宋_GB2312"/>
          <w:color w:val="000000"/>
          <w:sz w:val="24"/>
          <w:szCs w:val="24"/>
        </w:rPr>
        <w:t>建立健全廉政制度，开展廉政教育，公布举报电话，开展监督并认真查处违法违纪行为。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二、双方的廉政义务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甲乙双方及其工作人员不得有以下行为：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1.向对方及其工作人员行贿或索要、接受对方及其工作人员的礼金、有价证券和贵重物品。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2.为对方及其工作人员报销或索要、接受对方及其工作人员报销任何应当由对方支付的各种费用。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3.为对方及其工作人员安排或参加对方及其工作人员安排的可能影响公正执行公务的宴请或娱乐活动。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4.为对方及其工作人员购置、提供或接受对方及其工作人员购置、提供的通讯工具、交通工具和高档办公用品等。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6.有违反廉政要求其他情形。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若一</w:t>
      </w:r>
      <w:r>
        <w:rPr>
          <w:rFonts w:hint="eastAsia" w:ascii="仿宋_GB2312" w:hAnsi="仿宋_GB2312" w:eastAsia="仿宋_GB2312" w:cs="仿宋_GB2312"/>
          <w:color w:val="000000"/>
          <w:sz w:val="24"/>
          <w:szCs w:val="24"/>
        </w:rPr>
        <w:t>方及其工作人员</w:t>
      </w:r>
      <w:r>
        <w:rPr>
          <w:rFonts w:hint="eastAsia" w:ascii="仿宋_GB2312" w:hAnsi="仿宋_GB2312" w:eastAsia="仿宋_GB2312" w:cs="仿宋_GB2312"/>
          <w:color w:val="000000"/>
          <w:sz w:val="24"/>
          <w:szCs w:val="24"/>
          <w:lang w:eastAsia="zh-CN"/>
        </w:rPr>
        <w:t>有</w:t>
      </w:r>
      <w:r>
        <w:rPr>
          <w:rFonts w:hint="eastAsia" w:ascii="仿宋_GB2312" w:hAnsi="仿宋_GB2312" w:eastAsia="仿宋_GB2312" w:cs="仿宋_GB2312"/>
          <w:color w:val="000000"/>
          <w:sz w:val="24"/>
          <w:szCs w:val="24"/>
        </w:rPr>
        <w:t>违反法律法规及</w:t>
      </w:r>
      <w:r>
        <w:rPr>
          <w:rFonts w:hint="eastAsia" w:ascii="仿宋_GB2312" w:hAnsi="仿宋_GB2312" w:eastAsia="仿宋_GB2312" w:cs="仿宋_GB2312"/>
          <w:color w:val="000000"/>
          <w:sz w:val="24"/>
          <w:szCs w:val="24"/>
          <w:lang w:eastAsia="zh-CN"/>
        </w:rPr>
        <w:t>本</w:t>
      </w:r>
      <w:r>
        <w:rPr>
          <w:rFonts w:hint="eastAsia" w:ascii="仿宋_GB2312" w:hAnsi="仿宋_GB2312" w:eastAsia="仿宋_GB2312" w:cs="仿宋_GB2312"/>
          <w:color w:val="000000"/>
          <w:sz w:val="24"/>
          <w:szCs w:val="24"/>
          <w:lang w:val="en-US" w:eastAsia="zh-CN"/>
        </w:rPr>
        <w:t>协议</w:t>
      </w:r>
      <w:r>
        <w:rPr>
          <w:rFonts w:hint="eastAsia" w:ascii="仿宋_GB2312" w:hAnsi="仿宋_GB2312" w:eastAsia="仿宋_GB2312" w:cs="仿宋_GB2312"/>
          <w:color w:val="000000"/>
          <w:sz w:val="24"/>
          <w:szCs w:val="24"/>
          <w:lang w:eastAsia="zh-CN"/>
        </w:rPr>
        <w:t>书</w:t>
      </w:r>
      <w:r>
        <w:rPr>
          <w:rFonts w:hint="eastAsia" w:ascii="仿宋_GB2312" w:hAnsi="仿宋_GB2312" w:eastAsia="仿宋_GB2312" w:cs="仿宋_GB2312"/>
          <w:color w:val="000000"/>
          <w:sz w:val="24"/>
          <w:szCs w:val="24"/>
        </w:rPr>
        <w:t>的，</w:t>
      </w:r>
      <w:r>
        <w:rPr>
          <w:rFonts w:hint="eastAsia" w:ascii="仿宋_GB2312" w:hAnsi="仿宋_GB2312" w:eastAsia="仿宋_GB2312" w:cs="仿宋_GB2312"/>
          <w:color w:val="000000"/>
          <w:sz w:val="24"/>
          <w:szCs w:val="24"/>
          <w:lang w:val="en-US" w:eastAsia="zh-CN"/>
        </w:rPr>
        <w:t>应</w:t>
      </w:r>
      <w:r>
        <w:rPr>
          <w:rFonts w:hint="eastAsia" w:ascii="仿宋_GB2312" w:hAnsi="仿宋_GB2312" w:eastAsia="仿宋_GB2312" w:cs="仿宋_GB2312"/>
          <w:color w:val="000000"/>
          <w:sz w:val="24"/>
          <w:szCs w:val="24"/>
        </w:rPr>
        <w:t>依法依规对相关责任人进行严肃处理</w:t>
      </w:r>
      <w:r>
        <w:rPr>
          <w:rFonts w:hint="default" w:ascii="仿宋_GB2312" w:hAnsi="仿宋_GB2312" w:eastAsia="仿宋_GB2312" w:cs="仿宋_GB2312"/>
          <w:color w:val="000000"/>
          <w:sz w:val="24"/>
          <w:szCs w:val="24"/>
        </w:rPr>
        <w:t>，并向守约方支付至少10000元的违约金</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若违约方</w:t>
      </w:r>
      <w:r>
        <w:rPr>
          <w:rFonts w:hint="eastAsia" w:ascii="仿宋_GB2312" w:hAnsi="仿宋_GB2312" w:eastAsia="仿宋_GB2312" w:cs="仿宋_GB2312"/>
          <w:color w:val="000000"/>
          <w:sz w:val="24"/>
          <w:szCs w:val="24"/>
        </w:rPr>
        <w:t>给</w:t>
      </w:r>
      <w:r>
        <w:rPr>
          <w:rFonts w:hint="eastAsia" w:ascii="仿宋_GB2312" w:hAnsi="仿宋_GB2312" w:eastAsia="仿宋_GB2312" w:cs="仿宋_GB2312"/>
          <w:color w:val="000000"/>
          <w:sz w:val="24"/>
          <w:szCs w:val="24"/>
          <w:lang w:val="en-US" w:eastAsia="zh-CN"/>
        </w:rPr>
        <w:t>守约方</w:t>
      </w:r>
      <w:r>
        <w:rPr>
          <w:rFonts w:hint="eastAsia" w:ascii="仿宋_GB2312" w:hAnsi="仿宋_GB2312" w:eastAsia="仿宋_GB2312" w:cs="仿宋_GB2312"/>
          <w:color w:val="000000"/>
          <w:sz w:val="24"/>
          <w:szCs w:val="24"/>
        </w:rPr>
        <w:t>造成经济损失的，</w:t>
      </w:r>
      <w:r>
        <w:rPr>
          <w:rFonts w:hint="eastAsia" w:ascii="仿宋_GB2312" w:hAnsi="仿宋_GB2312" w:eastAsia="仿宋_GB2312" w:cs="仿宋_GB2312"/>
          <w:color w:val="000000"/>
          <w:sz w:val="24"/>
          <w:szCs w:val="24"/>
          <w:lang w:val="en-US" w:eastAsia="zh-CN"/>
        </w:rPr>
        <w:t>应按照损失的金额</w:t>
      </w:r>
      <w:r>
        <w:rPr>
          <w:rFonts w:hint="default" w:ascii="仿宋_GB2312" w:hAnsi="仿宋_GB2312" w:eastAsia="仿宋_GB2312" w:cs="仿宋_GB2312"/>
          <w:color w:val="000000"/>
          <w:sz w:val="24"/>
          <w:szCs w:val="24"/>
          <w:lang w:eastAsia="zh-CN"/>
        </w:rPr>
        <w:t>的2倍</w:t>
      </w:r>
      <w:r>
        <w:rPr>
          <w:rFonts w:hint="eastAsia" w:ascii="仿宋_GB2312" w:hAnsi="仿宋_GB2312" w:eastAsia="仿宋_GB2312" w:cs="仿宋_GB2312"/>
          <w:color w:val="000000"/>
          <w:sz w:val="24"/>
          <w:szCs w:val="24"/>
          <w:lang w:val="en-US" w:eastAsia="zh-CN"/>
        </w:rPr>
        <w:t>给守约方予以赔偿</w:t>
      </w:r>
      <w:r>
        <w:rPr>
          <w:rFonts w:hint="eastAsia" w:ascii="仿宋_GB2312" w:hAnsi="仿宋_GB2312" w:eastAsia="仿宋_GB2312" w:cs="仿宋_GB2312"/>
          <w:color w:val="000000"/>
          <w:sz w:val="24"/>
          <w:szCs w:val="24"/>
        </w:rPr>
        <w:t>；涉嫌犯罪的，移送司法机关</w:t>
      </w:r>
      <w:r>
        <w:rPr>
          <w:rFonts w:hint="eastAsia" w:ascii="仿宋_GB2312" w:hAnsi="仿宋_GB2312" w:eastAsia="仿宋_GB2312" w:cs="仿宋_GB2312"/>
          <w:color w:val="000000"/>
          <w:sz w:val="24"/>
          <w:szCs w:val="24"/>
          <w:lang w:val="en-US" w:eastAsia="zh-CN"/>
        </w:rPr>
        <w:t>追究相关责任</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color w:val="000000"/>
          <w:sz w:val="24"/>
          <w:szCs w:val="24"/>
          <w:u w:val="none"/>
          <w:lang w:val="en-US" w:eastAsia="zh-CN"/>
        </w:rPr>
      </w:pPr>
      <w:r>
        <w:rPr>
          <w:rFonts w:hint="eastAsia" w:ascii="仿宋_GB2312" w:hAnsi="仿宋_GB2312" w:eastAsia="仿宋_GB2312" w:cs="仿宋_GB2312"/>
          <w:color w:val="000000"/>
          <w:sz w:val="24"/>
          <w:szCs w:val="24"/>
          <w:lang w:val="en-US" w:eastAsia="zh-CN"/>
        </w:rPr>
        <w:t>三</w:t>
      </w:r>
      <w:r>
        <w:rPr>
          <w:rFonts w:hint="default" w:ascii="仿宋_GB2312" w:hAnsi="仿宋_GB2312" w:eastAsia="仿宋_GB2312" w:cs="仿宋_GB2312"/>
          <w:color w:val="000000"/>
          <w:sz w:val="24"/>
          <w:szCs w:val="24"/>
          <w:lang w:eastAsia="zh-CN"/>
        </w:rPr>
        <w:t xml:space="preserve"> </w:t>
      </w:r>
      <w:r>
        <w:rPr>
          <w:rFonts w:hint="eastAsia" w:ascii="仿宋_GB2312" w:hAnsi="仿宋_GB2312" w:eastAsia="仿宋_GB2312" w:cs="仿宋_GB2312"/>
          <w:color w:val="000000"/>
          <w:sz w:val="24"/>
          <w:szCs w:val="24"/>
          <w:lang w:val="en-US" w:eastAsia="zh-CN"/>
        </w:rPr>
        <w:t>、</w:t>
      </w:r>
      <w:r>
        <w:rPr>
          <w:rFonts w:hint="default" w:ascii="仿宋_GB2312" w:hAnsi="仿宋_GB2312" w:eastAsia="仿宋_GB2312" w:cs="仿宋_GB2312"/>
          <w:color w:val="000000"/>
          <w:sz w:val="24"/>
          <w:szCs w:val="24"/>
          <w:lang w:eastAsia="zh-CN"/>
        </w:rPr>
        <w:t>甲方举报方式：</w:t>
      </w:r>
      <w:r>
        <w:rPr>
          <w:rFonts w:hint="default"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lang w:val="en-US" w:eastAsia="zh-CN"/>
        </w:rPr>
        <w:t>1.电话举报：0777-5818333；2.邮箱举报：</w:t>
      </w:r>
      <w:r>
        <w:rPr>
          <w:rFonts w:hint="eastAsia" w:ascii="仿宋_GB2312" w:hAnsi="仿宋_GB2312" w:eastAsia="仿宋_GB2312" w:cs="仿宋_GB2312"/>
          <w:color w:val="000000"/>
          <w:sz w:val="24"/>
          <w:szCs w:val="24"/>
          <w:u w:val="single"/>
          <w:lang w:val="en-US" w:eastAsia="zh-CN"/>
        </w:rPr>
        <w:fldChar w:fldCharType="begin"/>
      </w:r>
      <w:r>
        <w:rPr>
          <w:rFonts w:hint="eastAsia" w:ascii="仿宋_GB2312" w:hAnsi="仿宋_GB2312" w:eastAsia="仿宋_GB2312" w:cs="仿宋_GB2312"/>
          <w:color w:val="000000"/>
          <w:sz w:val="24"/>
          <w:szCs w:val="24"/>
          <w:u w:val="single"/>
          <w:lang w:val="en-US" w:eastAsia="zh-CN"/>
        </w:rPr>
        <w:instrText xml:space="preserve"> HYPERLINK "mailto:zimaokaitoujituan@163.com；" </w:instrText>
      </w:r>
      <w:r>
        <w:rPr>
          <w:rFonts w:hint="eastAsia" w:ascii="仿宋_GB2312" w:hAnsi="仿宋_GB2312" w:eastAsia="仿宋_GB2312" w:cs="仿宋_GB2312"/>
          <w:color w:val="000000"/>
          <w:sz w:val="24"/>
          <w:szCs w:val="24"/>
          <w:u w:val="single"/>
          <w:lang w:val="en-US" w:eastAsia="zh-CN"/>
        </w:rPr>
        <w:fldChar w:fldCharType="separate"/>
      </w:r>
      <w:r>
        <w:rPr>
          <w:rStyle w:val="26"/>
          <w:rFonts w:hint="eastAsia" w:ascii="仿宋_GB2312" w:hAnsi="仿宋_GB2312" w:eastAsia="仿宋_GB2312" w:cs="仿宋_GB2312"/>
          <w:sz w:val="24"/>
          <w:szCs w:val="24"/>
          <w:lang w:val="en-US" w:eastAsia="zh-CN"/>
        </w:rPr>
        <w:t>zimaokaitoujituan@163.com</w:t>
      </w:r>
      <w:r>
        <w:rPr>
          <w:rStyle w:val="26"/>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sz w:val="24"/>
          <w:szCs w:val="24"/>
          <w:u w:val="single"/>
          <w:lang w:val="en-US" w:eastAsia="zh-CN"/>
        </w:rPr>
        <w:fldChar w:fldCharType="end"/>
      </w:r>
    </w:p>
    <w:p>
      <w:pPr>
        <w:spacing w:line="360" w:lineRule="auto"/>
        <w:rPr>
          <w:rFonts w:hint="default" w:ascii="仿宋_GB2312" w:hAnsi="仿宋_GB2312" w:eastAsia="仿宋_GB2312" w:cs="仿宋_GB2312"/>
          <w:color w:val="000000"/>
          <w:sz w:val="24"/>
          <w:szCs w:val="24"/>
          <w:lang w:eastAsia="zh-CN"/>
        </w:rPr>
      </w:pPr>
      <w:r>
        <w:rPr>
          <w:rFonts w:hint="default" w:ascii="仿宋_GB2312" w:hAnsi="仿宋_GB2312" w:eastAsia="仿宋_GB2312" w:cs="仿宋_GB2312"/>
          <w:color w:val="000000"/>
          <w:sz w:val="24"/>
          <w:szCs w:val="24"/>
          <w:lang w:eastAsia="zh-CN"/>
        </w:rPr>
        <w:t>乙方举报方式：</w:t>
      </w:r>
      <w:r>
        <w:rPr>
          <w:rFonts w:hint="eastAsia" w:ascii="仿宋_GB2312" w:hAnsi="仿宋_GB2312" w:eastAsia="仿宋_GB2312" w:cs="仿宋_GB2312"/>
          <w:color w:val="000000"/>
          <w:sz w:val="24"/>
          <w:szCs w:val="24"/>
          <w:u w:val="single"/>
          <w:lang w:val="en-US" w:eastAsia="zh-CN"/>
        </w:rPr>
        <w:t>1.电话举报：     邮箱举报：/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lang w:eastAsia="zh-CN"/>
        </w:rPr>
        <w:t xml:space="preserve">    四、</w:t>
      </w:r>
      <w:r>
        <w:rPr>
          <w:rFonts w:hint="eastAsia" w:ascii="仿宋_GB2312" w:hAnsi="仿宋_GB2312" w:eastAsia="仿宋_GB2312" w:cs="仿宋_GB2312"/>
          <w:color w:val="000000"/>
          <w:sz w:val="24"/>
          <w:szCs w:val="24"/>
        </w:rPr>
        <w:t>本</w:t>
      </w:r>
      <w:r>
        <w:rPr>
          <w:rFonts w:hint="eastAsia" w:ascii="仿宋_GB2312" w:hAnsi="仿宋_GB2312" w:eastAsia="仿宋_GB2312" w:cs="仿宋_GB2312"/>
          <w:color w:val="000000"/>
          <w:sz w:val="24"/>
          <w:szCs w:val="24"/>
          <w:lang w:val="en-US" w:eastAsia="zh-CN"/>
        </w:rPr>
        <w:t>协议</w:t>
      </w:r>
      <w:r>
        <w:rPr>
          <w:rFonts w:hint="eastAsia" w:ascii="仿宋_GB2312" w:hAnsi="仿宋_GB2312" w:eastAsia="仿宋_GB2312" w:cs="仿宋_GB2312"/>
          <w:color w:val="000000"/>
          <w:sz w:val="24"/>
          <w:szCs w:val="24"/>
          <w:lang w:eastAsia="zh-CN"/>
        </w:rPr>
        <w:t>书</w:t>
      </w:r>
      <w:r>
        <w:rPr>
          <w:rFonts w:hint="eastAsia" w:ascii="仿宋_GB2312" w:hAnsi="仿宋_GB2312" w:eastAsia="仿宋_GB2312" w:cs="仿宋_GB2312"/>
          <w:color w:val="000000"/>
          <w:sz w:val="24"/>
          <w:szCs w:val="24"/>
        </w:rPr>
        <w:t>作为编号为：</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zh-CN"/>
        </w:rPr>
        <w:t>《粮食加工产业园视频监控设备采购》</w:t>
      </w:r>
      <w:r>
        <w:rPr>
          <w:rFonts w:hint="eastAsia" w:ascii="仿宋_GB2312" w:hAnsi="仿宋_GB2312" w:eastAsia="仿宋_GB2312" w:cs="仿宋_GB2312"/>
          <w:color w:val="000000"/>
          <w:sz w:val="24"/>
          <w:szCs w:val="24"/>
          <w:lang w:eastAsia="zh-CN"/>
        </w:rPr>
        <w:t>（以下简称为“主合同”）</w:t>
      </w:r>
      <w:r>
        <w:rPr>
          <w:rFonts w:hint="eastAsia" w:ascii="仿宋_GB2312" w:hAnsi="仿宋_GB2312" w:eastAsia="仿宋_GB2312" w:cs="仿宋_GB2312"/>
          <w:color w:val="000000"/>
          <w:sz w:val="24"/>
          <w:szCs w:val="24"/>
        </w:rPr>
        <w:t>的附件，</w:t>
      </w:r>
      <w:r>
        <w:rPr>
          <w:rFonts w:hint="eastAsia" w:ascii="仿宋_GB2312" w:hAnsi="仿宋_GB2312" w:eastAsia="仿宋_GB2312" w:cs="仿宋_GB2312"/>
          <w:color w:val="000000"/>
          <w:sz w:val="24"/>
          <w:szCs w:val="24"/>
          <w:lang w:eastAsia="zh-CN"/>
        </w:rPr>
        <w:t>一式贰份，</w:t>
      </w:r>
      <w:r>
        <w:rPr>
          <w:rFonts w:hint="eastAsia" w:ascii="仿宋_GB2312" w:hAnsi="仿宋_GB2312" w:eastAsia="仿宋_GB2312" w:cs="仿宋_GB2312"/>
          <w:color w:val="000000"/>
          <w:sz w:val="24"/>
          <w:szCs w:val="24"/>
          <w:lang w:val="en-US" w:eastAsia="zh-CN"/>
        </w:rPr>
        <w:t>甲乙双方</w:t>
      </w:r>
      <w:r>
        <w:rPr>
          <w:rFonts w:hint="eastAsia" w:ascii="仿宋_GB2312" w:hAnsi="仿宋_GB2312" w:eastAsia="仿宋_GB2312" w:cs="仿宋_GB2312"/>
          <w:color w:val="000000"/>
          <w:sz w:val="24"/>
          <w:szCs w:val="24"/>
          <w:lang w:eastAsia="zh-CN"/>
        </w:rPr>
        <w:t>各执壹份，</w:t>
      </w:r>
      <w:r>
        <w:rPr>
          <w:rFonts w:hint="eastAsia" w:ascii="仿宋_GB2312" w:hAnsi="仿宋_GB2312" w:eastAsia="仿宋_GB2312" w:cs="仿宋_GB2312"/>
          <w:color w:val="000000"/>
          <w:sz w:val="24"/>
          <w:szCs w:val="24"/>
        </w:rPr>
        <w:t>具有同等法律效力，有效期与主合同相同，经</w:t>
      </w:r>
      <w:r>
        <w:rPr>
          <w:rFonts w:hint="eastAsia" w:ascii="仿宋_GB2312" w:hAnsi="仿宋_GB2312" w:eastAsia="仿宋_GB2312" w:cs="仿宋_GB2312"/>
          <w:color w:val="000000"/>
          <w:sz w:val="24"/>
          <w:szCs w:val="24"/>
          <w:lang w:eastAsia="zh-CN"/>
        </w:rPr>
        <w:t>甲乙双方</w:t>
      </w:r>
      <w:r>
        <w:rPr>
          <w:rFonts w:hint="eastAsia" w:ascii="仿宋_GB2312" w:hAnsi="仿宋_GB2312" w:eastAsia="仿宋_GB2312" w:cs="仿宋_GB2312"/>
          <w:color w:val="000000"/>
          <w:sz w:val="24"/>
          <w:szCs w:val="24"/>
        </w:rPr>
        <w:t>签署后生效。</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本页为签署页</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w:t>
      </w:r>
      <w:r>
        <w:rPr>
          <w:rFonts w:hint="eastAsia" w:ascii="仿宋_GB2312" w:hAnsi="仿宋_GB2312" w:eastAsia="仿宋_GB2312" w:cs="仿宋_GB2312"/>
          <w:color w:val="000000"/>
          <w:sz w:val="24"/>
          <w:szCs w:val="24"/>
          <w:lang w:eastAsia="zh-CN"/>
        </w:rPr>
        <w:t>（盖章）</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乙方（盖章）：</w:t>
      </w:r>
      <w:r>
        <w:rPr>
          <w:rFonts w:hint="eastAsia" w:ascii="仿宋_GB2312" w:hAnsi="仿宋_GB2312" w:eastAsia="仿宋_GB2312" w:cs="仿宋_GB2312"/>
          <w:color w:val="00000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法定代表人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sz w:val="24"/>
          <w:szCs w:val="24"/>
          <w:lang w:val="en-US" w:eastAsia="zh-CN"/>
        </w:rPr>
        <w:t>授权</w:t>
      </w:r>
      <w:r>
        <w:rPr>
          <w:rFonts w:hint="eastAsia" w:ascii="仿宋_GB2312" w:hAnsi="仿宋_GB2312" w:eastAsia="仿宋_GB2312" w:cs="仿宋_GB2312"/>
          <w:color w:val="000000"/>
          <w:sz w:val="24"/>
          <w:szCs w:val="24"/>
        </w:rPr>
        <w:t xml:space="preserve">代表：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sz w:val="24"/>
          <w:szCs w:val="24"/>
          <w:lang w:val="en-US" w:eastAsia="zh-CN"/>
        </w:rPr>
        <w:t>授权</w:t>
      </w:r>
      <w:r>
        <w:rPr>
          <w:rFonts w:hint="eastAsia" w:ascii="仿宋_GB2312" w:hAnsi="仿宋_GB2312" w:eastAsia="仿宋_GB2312" w:cs="仿宋_GB2312"/>
          <w:color w:val="000000"/>
          <w:sz w:val="24"/>
          <w:szCs w:val="24"/>
        </w:rPr>
        <w:t xml:space="preserve">代表：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 xml:space="preserve">签订日期：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签订日期</w:t>
      </w:r>
      <w:r>
        <w:rPr>
          <w:rFonts w:hint="eastAsia" w:ascii="仿宋_GB2312" w:hAnsi="仿宋_GB2312" w:eastAsia="仿宋_GB2312" w:cs="仿宋_GB2312"/>
          <w:color w:val="000000"/>
          <w:sz w:val="24"/>
          <w:szCs w:val="24"/>
          <w:lang w:eastAsia="zh-CN"/>
        </w:rPr>
        <w:t>：</w:t>
      </w:r>
    </w:p>
    <w:p>
      <w:pPr>
        <w:pStyle w:val="6"/>
        <w:rPr>
          <w:rFonts w:hint="default" w:ascii="宋体" w:hAnsi="宋体"/>
          <w:b/>
          <w:bCs/>
          <w:color w:val="FF0000"/>
          <w:sz w:val="32"/>
          <w:szCs w:val="32"/>
          <w:lang w:val="en-US" w:eastAsia="zh-CN"/>
        </w:rPr>
      </w:pPr>
    </w:p>
    <w:p>
      <w:pPr>
        <w:rPr>
          <w:rFonts w:hint="default"/>
          <w:lang w:val="en-US" w:eastAsia="zh-CN"/>
        </w:rPr>
      </w:pPr>
    </w:p>
    <w:sectPr>
      <w:headerReference r:id="rId3" w:type="default"/>
      <w:footerReference r:id="rId4" w:type="default"/>
      <w:pgSz w:w="11906" w:h="16838"/>
      <w:pgMar w:top="1440" w:right="1417"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p>
    <w:pPr>
      <w:pStyle w:val="2"/>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pPr>
                      <w:spacing w:line="360" w:lineRule="exact"/>
                      <w:ind w:right="180"/>
                      <w:jc w:val="right"/>
                      <w:rPr>
                        <w:sz w:val="18"/>
                        <w:szCs w:val="18"/>
                      </w:rPr>
                    </w:pPr>
                  </w:p>
                </w:txbxContent>
              </v:textbox>
              <w10:wrap type="square"/>
            </v:shape>
          </w:pict>
        </mc:Fallback>
      </mc:AlternateContent>
    </w:r>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14071783"/>
    <w:multiLevelType w:val="multilevel"/>
    <w:tmpl w:val="14071783"/>
    <w:lvl w:ilvl="0" w:tentative="0">
      <w:start w:val="1"/>
      <w:numFmt w:val="decimal"/>
      <w:lvlText w:val="2.%1."/>
      <w:lvlJc w:val="left"/>
      <w:pPr>
        <w:ind w:left="561" w:hanging="420"/>
      </w:pPr>
      <w:rPr>
        <w:rFonts w:hint="eastAsia"/>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2">
    <w:nsid w:val="236B6ADF"/>
    <w:multiLevelType w:val="multilevel"/>
    <w:tmpl w:val="236B6ADF"/>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A75E7B"/>
    <w:multiLevelType w:val="multilevel"/>
    <w:tmpl w:val="27A75E7B"/>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D919B6"/>
    <w:multiLevelType w:val="multilevel"/>
    <w:tmpl w:val="34D919B6"/>
    <w:lvl w:ilvl="0" w:tentative="0">
      <w:start w:val="1"/>
      <w:numFmt w:val="japaneseCounting"/>
      <w:lvlText w:val="%1、"/>
      <w:lvlJc w:val="left"/>
      <w:pPr>
        <w:ind w:left="360" w:hanging="36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BE54B9D"/>
    <w:multiLevelType w:val="multilevel"/>
    <w:tmpl w:val="4BE54B9D"/>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E010D25"/>
    <w:multiLevelType w:val="multilevel"/>
    <w:tmpl w:val="5E010D25"/>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5784FCF"/>
    <w:multiLevelType w:val="singleLevel"/>
    <w:tmpl w:val="65784FCF"/>
    <w:lvl w:ilvl="0" w:tentative="0">
      <w:start w:val="1"/>
      <w:numFmt w:val="chineseCounting"/>
      <w:suff w:val="nothing"/>
      <w:lvlText w:val="%1、"/>
      <w:lvlJc w:val="left"/>
      <w:rPr>
        <w:rFonts w:hint="eastAsia"/>
      </w:rPr>
    </w:lvl>
  </w:abstractNum>
  <w:num w:numId="1">
    <w:abstractNumId w:val="0"/>
  </w:num>
  <w:num w:numId="2">
    <w:abstractNumId w:val="7"/>
  </w:num>
  <w:num w:numId="3">
    <w:abstractNumId w:val="4"/>
  </w:num>
  <w:num w:numId="4">
    <w:abstractNumId w:val="1"/>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0NjZiNmVmZGQ5MzEyMWQ0ZTYxYWNmZDZkYTRhZGY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4D0F"/>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D13DE9"/>
    <w:rsid w:val="05DD2775"/>
    <w:rsid w:val="060D56C3"/>
    <w:rsid w:val="06121BBF"/>
    <w:rsid w:val="0629197A"/>
    <w:rsid w:val="06351D6F"/>
    <w:rsid w:val="06551E88"/>
    <w:rsid w:val="06886D38"/>
    <w:rsid w:val="06971594"/>
    <w:rsid w:val="06B57D92"/>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22685D"/>
    <w:rsid w:val="083B24A9"/>
    <w:rsid w:val="083C026A"/>
    <w:rsid w:val="088E7380"/>
    <w:rsid w:val="08AE4F3F"/>
    <w:rsid w:val="08AF5390"/>
    <w:rsid w:val="08CA553B"/>
    <w:rsid w:val="08F7532E"/>
    <w:rsid w:val="09560051"/>
    <w:rsid w:val="0957698D"/>
    <w:rsid w:val="095920CF"/>
    <w:rsid w:val="09816EE4"/>
    <w:rsid w:val="098715B8"/>
    <w:rsid w:val="0999550E"/>
    <w:rsid w:val="09CE6744"/>
    <w:rsid w:val="09EF20F3"/>
    <w:rsid w:val="09F938DF"/>
    <w:rsid w:val="0A021711"/>
    <w:rsid w:val="0A135D35"/>
    <w:rsid w:val="0A875AA6"/>
    <w:rsid w:val="0A974E91"/>
    <w:rsid w:val="0A9C2B56"/>
    <w:rsid w:val="0AD74629"/>
    <w:rsid w:val="0AF142C5"/>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8B66C7"/>
    <w:rsid w:val="0EB473DE"/>
    <w:rsid w:val="0F205090"/>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850115"/>
    <w:rsid w:val="12924115"/>
    <w:rsid w:val="12A27490"/>
    <w:rsid w:val="12B427A8"/>
    <w:rsid w:val="130D010A"/>
    <w:rsid w:val="138758AD"/>
    <w:rsid w:val="144C726A"/>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DA1C61"/>
    <w:rsid w:val="1910640B"/>
    <w:rsid w:val="194F5560"/>
    <w:rsid w:val="19AF21CB"/>
    <w:rsid w:val="19BC275F"/>
    <w:rsid w:val="19BF644E"/>
    <w:rsid w:val="19D84033"/>
    <w:rsid w:val="1A1134D9"/>
    <w:rsid w:val="1A22137A"/>
    <w:rsid w:val="1A5F04E9"/>
    <w:rsid w:val="1A6223BF"/>
    <w:rsid w:val="1A6D4B8A"/>
    <w:rsid w:val="1A802718"/>
    <w:rsid w:val="1AAA29E0"/>
    <w:rsid w:val="1AB62EC5"/>
    <w:rsid w:val="1AD36D55"/>
    <w:rsid w:val="1AE07CCB"/>
    <w:rsid w:val="1AE62938"/>
    <w:rsid w:val="1AEE2DBC"/>
    <w:rsid w:val="1AF01232"/>
    <w:rsid w:val="1B254619"/>
    <w:rsid w:val="1B3072A4"/>
    <w:rsid w:val="1B3A39A7"/>
    <w:rsid w:val="1BA442B5"/>
    <w:rsid w:val="1BE624A8"/>
    <w:rsid w:val="1C2503CF"/>
    <w:rsid w:val="1C331C9B"/>
    <w:rsid w:val="1C3A461F"/>
    <w:rsid w:val="1C583DAC"/>
    <w:rsid w:val="1C735BE1"/>
    <w:rsid w:val="1C7F25A2"/>
    <w:rsid w:val="1C99577A"/>
    <w:rsid w:val="1DA510CB"/>
    <w:rsid w:val="1DD41F50"/>
    <w:rsid w:val="1E2C54FA"/>
    <w:rsid w:val="1E553EB9"/>
    <w:rsid w:val="1EF652E1"/>
    <w:rsid w:val="1F2B0E21"/>
    <w:rsid w:val="1F793F7F"/>
    <w:rsid w:val="1F836367"/>
    <w:rsid w:val="1F861028"/>
    <w:rsid w:val="1FA2571F"/>
    <w:rsid w:val="20096994"/>
    <w:rsid w:val="205A54F3"/>
    <w:rsid w:val="20B31DCB"/>
    <w:rsid w:val="21093804"/>
    <w:rsid w:val="21197F58"/>
    <w:rsid w:val="216D5F5C"/>
    <w:rsid w:val="216E62F3"/>
    <w:rsid w:val="21916B6D"/>
    <w:rsid w:val="21A64B78"/>
    <w:rsid w:val="21B13D1D"/>
    <w:rsid w:val="21CA55C5"/>
    <w:rsid w:val="2204269B"/>
    <w:rsid w:val="22387007"/>
    <w:rsid w:val="22606ABC"/>
    <w:rsid w:val="22650C06"/>
    <w:rsid w:val="22AB2AC4"/>
    <w:rsid w:val="22C24A6D"/>
    <w:rsid w:val="22FF7597"/>
    <w:rsid w:val="231625B2"/>
    <w:rsid w:val="237A23D8"/>
    <w:rsid w:val="240B137D"/>
    <w:rsid w:val="24352F85"/>
    <w:rsid w:val="244A3359"/>
    <w:rsid w:val="25031E0F"/>
    <w:rsid w:val="2540519B"/>
    <w:rsid w:val="256A7B23"/>
    <w:rsid w:val="25C71449"/>
    <w:rsid w:val="25F215F0"/>
    <w:rsid w:val="26942D28"/>
    <w:rsid w:val="269770B2"/>
    <w:rsid w:val="26A36451"/>
    <w:rsid w:val="26E266C1"/>
    <w:rsid w:val="27157D02"/>
    <w:rsid w:val="27870264"/>
    <w:rsid w:val="27E259BA"/>
    <w:rsid w:val="28CD6169"/>
    <w:rsid w:val="28EC413F"/>
    <w:rsid w:val="290D0BA8"/>
    <w:rsid w:val="290E5506"/>
    <w:rsid w:val="291E415D"/>
    <w:rsid w:val="295E666C"/>
    <w:rsid w:val="298160F4"/>
    <w:rsid w:val="299037CC"/>
    <w:rsid w:val="29A7027F"/>
    <w:rsid w:val="29E0554E"/>
    <w:rsid w:val="2A721527"/>
    <w:rsid w:val="2A747086"/>
    <w:rsid w:val="2ADA6A24"/>
    <w:rsid w:val="2AF56E78"/>
    <w:rsid w:val="2B151288"/>
    <w:rsid w:val="2B2758B4"/>
    <w:rsid w:val="2B8F6A94"/>
    <w:rsid w:val="2BAC2952"/>
    <w:rsid w:val="2C0D620D"/>
    <w:rsid w:val="2C9222B2"/>
    <w:rsid w:val="2CC72354"/>
    <w:rsid w:val="2CE17AF6"/>
    <w:rsid w:val="2D0E3DF0"/>
    <w:rsid w:val="2D562DA3"/>
    <w:rsid w:val="2D6047CE"/>
    <w:rsid w:val="2D814792"/>
    <w:rsid w:val="2DA61B83"/>
    <w:rsid w:val="2DD16068"/>
    <w:rsid w:val="2E275983"/>
    <w:rsid w:val="2E5C30C4"/>
    <w:rsid w:val="2EB11F33"/>
    <w:rsid w:val="2EC914F5"/>
    <w:rsid w:val="2EE265FC"/>
    <w:rsid w:val="2EED037D"/>
    <w:rsid w:val="2EF45034"/>
    <w:rsid w:val="2F0D4219"/>
    <w:rsid w:val="2F1858E6"/>
    <w:rsid w:val="2F481357"/>
    <w:rsid w:val="2F5D6B4A"/>
    <w:rsid w:val="2FD54191"/>
    <w:rsid w:val="2FF8776F"/>
    <w:rsid w:val="30343CBE"/>
    <w:rsid w:val="3057388E"/>
    <w:rsid w:val="30713E31"/>
    <w:rsid w:val="309F7328"/>
    <w:rsid w:val="30C01803"/>
    <w:rsid w:val="313D7A41"/>
    <w:rsid w:val="31737A8A"/>
    <w:rsid w:val="31DE7DDE"/>
    <w:rsid w:val="31EF7C74"/>
    <w:rsid w:val="32235819"/>
    <w:rsid w:val="32680FEB"/>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F1DE5"/>
    <w:rsid w:val="37EA44E4"/>
    <w:rsid w:val="38303DCF"/>
    <w:rsid w:val="38504E49"/>
    <w:rsid w:val="389D7EB4"/>
    <w:rsid w:val="38A35381"/>
    <w:rsid w:val="38B5247B"/>
    <w:rsid w:val="38EE2D91"/>
    <w:rsid w:val="390126DC"/>
    <w:rsid w:val="39123F32"/>
    <w:rsid w:val="391D3D3D"/>
    <w:rsid w:val="39230C42"/>
    <w:rsid w:val="3A1D0C5F"/>
    <w:rsid w:val="3A416AF3"/>
    <w:rsid w:val="3A8C68EF"/>
    <w:rsid w:val="3AA1056B"/>
    <w:rsid w:val="3AC871CA"/>
    <w:rsid w:val="3B1309D9"/>
    <w:rsid w:val="3B1C043E"/>
    <w:rsid w:val="3B5D5507"/>
    <w:rsid w:val="3B7207E0"/>
    <w:rsid w:val="3B80764B"/>
    <w:rsid w:val="3BB373DD"/>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6A512C"/>
    <w:rsid w:val="43AE69E2"/>
    <w:rsid w:val="43D93E6B"/>
    <w:rsid w:val="43E87B28"/>
    <w:rsid w:val="43F57082"/>
    <w:rsid w:val="43F71712"/>
    <w:rsid w:val="44385D88"/>
    <w:rsid w:val="44522D00"/>
    <w:rsid w:val="44752007"/>
    <w:rsid w:val="45301DEA"/>
    <w:rsid w:val="453C55F1"/>
    <w:rsid w:val="455E71E3"/>
    <w:rsid w:val="455F58A4"/>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A85928"/>
    <w:rsid w:val="47BB6E7E"/>
    <w:rsid w:val="47D25D21"/>
    <w:rsid w:val="47EA265E"/>
    <w:rsid w:val="487E3345"/>
    <w:rsid w:val="48953C10"/>
    <w:rsid w:val="48A24101"/>
    <w:rsid w:val="48EE4471"/>
    <w:rsid w:val="48FC638A"/>
    <w:rsid w:val="49007C8C"/>
    <w:rsid w:val="49276F2E"/>
    <w:rsid w:val="49495117"/>
    <w:rsid w:val="49630D4C"/>
    <w:rsid w:val="4977752B"/>
    <w:rsid w:val="498F28D1"/>
    <w:rsid w:val="49B81958"/>
    <w:rsid w:val="49DF3538"/>
    <w:rsid w:val="4A282C13"/>
    <w:rsid w:val="4A673701"/>
    <w:rsid w:val="4ABA6354"/>
    <w:rsid w:val="4AC62A9D"/>
    <w:rsid w:val="4ADA779D"/>
    <w:rsid w:val="4AED1AA7"/>
    <w:rsid w:val="4AEE791F"/>
    <w:rsid w:val="4B171404"/>
    <w:rsid w:val="4B39244D"/>
    <w:rsid w:val="4B4057E7"/>
    <w:rsid w:val="4B49685A"/>
    <w:rsid w:val="4B8F7597"/>
    <w:rsid w:val="4BB530E0"/>
    <w:rsid w:val="4BC16D1C"/>
    <w:rsid w:val="4BCA17A7"/>
    <w:rsid w:val="4BE24E3A"/>
    <w:rsid w:val="4C1D08F9"/>
    <w:rsid w:val="4C40574E"/>
    <w:rsid w:val="4C5A28C7"/>
    <w:rsid w:val="4C7E0836"/>
    <w:rsid w:val="4CCC524F"/>
    <w:rsid w:val="4D3771C8"/>
    <w:rsid w:val="4D4E6B20"/>
    <w:rsid w:val="4D573446"/>
    <w:rsid w:val="4D6E0FB7"/>
    <w:rsid w:val="4D6E75E8"/>
    <w:rsid w:val="4D785DBE"/>
    <w:rsid w:val="4D9B7AE1"/>
    <w:rsid w:val="4DBB14AE"/>
    <w:rsid w:val="4E6C2DA7"/>
    <w:rsid w:val="4EAC54CF"/>
    <w:rsid w:val="4EC1060E"/>
    <w:rsid w:val="4EC56875"/>
    <w:rsid w:val="4EFB456B"/>
    <w:rsid w:val="4F513D5F"/>
    <w:rsid w:val="4F7312EE"/>
    <w:rsid w:val="4FB43CBE"/>
    <w:rsid w:val="4FE0147F"/>
    <w:rsid w:val="50550202"/>
    <w:rsid w:val="50C06D1F"/>
    <w:rsid w:val="50FC56A3"/>
    <w:rsid w:val="51095EB7"/>
    <w:rsid w:val="51173C66"/>
    <w:rsid w:val="511E46D5"/>
    <w:rsid w:val="51513818"/>
    <w:rsid w:val="515E0CCC"/>
    <w:rsid w:val="517E1B7C"/>
    <w:rsid w:val="51997656"/>
    <w:rsid w:val="51D12E85"/>
    <w:rsid w:val="51EF7715"/>
    <w:rsid w:val="52006FED"/>
    <w:rsid w:val="52007258"/>
    <w:rsid w:val="52496CF3"/>
    <w:rsid w:val="52696687"/>
    <w:rsid w:val="52750578"/>
    <w:rsid w:val="52A74AA4"/>
    <w:rsid w:val="52E266E0"/>
    <w:rsid w:val="52E67553"/>
    <w:rsid w:val="530A2FBB"/>
    <w:rsid w:val="533D335A"/>
    <w:rsid w:val="53444042"/>
    <w:rsid w:val="53601D0A"/>
    <w:rsid w:val="53A65241"/>
    <w:rsid w:val="53E201C4"/>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0B34A7"/>
    <w:rsid w:val="56BB18C3"/>
    <w:rsid w:val="56FD0C29"/>
    <w:rsid w:val="571A2781"/>
    <w:rsid w:val="575C08FE"/>
    <w:rsid w:val="57610F7E"/>
    <w:rsid w:val="57967344"/>
    <w:rsid w:val="57B4793B"/>
    <w:rsid w:val="57E23853"/>
    <w:rsid w:val="580674DD"/>
    <w:rsid w:val="58137E7C"/>
    <w:rsid w:val="585050BF"/>
    <w:rsid w:val="585D1C9C"/>
    <w:rsid w:val="586B418D"/>
    <w:rsid w:val="5886610B"/>
    <w:rsid w:val="58D033F2"/>
    <w:rsid w:val="5933411F"/>
    <w:rsid w:val="59483BF5"/>
    <w:rsid w:val="59EB3ADD"/>
    <w:rsid w:val="5A6A261F"/>
    <w:rsid w:val="5AD00DCE"/>
    <w:rsid w:val="5B0171D9"/>
    <w:rsid w:val="5B031993"/>
    <w:rsid w:val="5B0E4D86"/>
    <w:rsid w:val="5B3160A7"/>
    <w:rsid w:val="5B881C80"/>
    <w:rsid w:val="5BBB2BB0"/>
    <w:rsid w:val="5BFB3952"/>
    <w:rsid w:val="5C0476C3"/>
    <w:rsid w:val="5C6137C8"/>
    <w:rsid w:val="5C725F5D"/>
    <w:rsid w:val="5C8C5A76"/>
    <w:rsid w:val="5CE255E1"/>
    <w:rsid w:val="5D1A67DC"/>
    <w:rsid w:val="5D2907BD"/>
    <w:rsid w:val="5E007D69"/>
    <w:rsid w:val="5E0400DD"/>
    <w:rsid w:val="5E6827D5"/>
    <w:rsid w:val="5E7F7D22"/>
    <w:rsid w:val="5EC01341"/>
    <w:rsid w:val="5ED43766"/>
    <w:rsid w:val="5F0454F9"/>
    <w:rsid w:val="5F507BA7"/>
    <w:rsid w:val="5F9F13B6"/>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9C0749"/>
    <w:rsid w:val="61B83291"/>
    <w:rsid w:val="61CB5160"/>
    <w:rsid w:val="61FB69A8"/>
    <w:rsid w:val="621F1B17"/>
    <w:rsid w:val="622D3289"/>
    <w:rsid w:val="6266219C"/>
    <w:rsid w:val="62750475"/>
    <w:rsid w:val="627546ED"/>
    <w:rsid w:val="629F008B"/>
    <w:rsid w:val="62C26F2D"/>
    <w:rsid w:val="62E04931"/>
    <w:rsid w:val="63233B50"/>
    <w:rsid w:val="63301CF5"/>
    <w:rsid w:val="63665830"/>
    <w:rsid w:val="63A33BBD"/>
    <w:rsid w:val="64284052"/>
    <w:rsid w:val="6429099E"/>
    <w:rsid w:val="647555F7"/>
    <w:rsid w:val="647B3309"/>
    <w:rsid w:val="64B35BE6"/>
    <w:rsid w:val="64BC5621"/>
    <w:rsid w:val="64C00EAA"/>
    <w:rsid w:val="64C9512D"/>
    <w:rsid w:val="6526689E"/>
    <w:rsid w:val="653D4716"/>
    <w:rsid w:val="654A79CF"/>
    <w:rsid w:val="6552427C"/>
    <w:rsid w:val="655E5AFC"/>
    <w:rsid w:val="65B940C9"/>
    <w:rsid w:val="65FF7564"/>
    <w:rsid w:val="66353CC9"/>
    <w:rsid w:val="66A85805"/>
    <w:rsid w:val="66E76B46"/>
    <w:rsid w:val="66FC729A"/>
    <w:rsid w:val="671342EB"/>
    <w:rsid w:val="67D8638F"/>
    <w:rsid w:val="6803353F"/>
    <w:rsid w:val="685607DF"/>
    <w:rsid w:val="685E563F"/>
    <w:rsid w:val="6898128A"/>
    <w:rsid w:val="68B60B5B"/>
    <w:rsid w:val="68D1417E"/>
    <w:rsid w:val="690C6FAA"/>
    <w:rsid w:val="690E1FC4"/>
    <w:rsid w:val="692E3A9D"/>
    <w:rsid w:val="697056F5"/>
    <w:rsid w:val="69CC5C96"/>
    <w:rsid w:val="69E33953"/>
    <w:rsid w:val="6A2567AA"/>
    <w:rsid w:val="6A53231B"/>
    <w:rsid w:val="6AC62FBB"/>
    <w:rsid w:val="6B252027"/>
    <w:rsid w:val="6B3833C1"/>
    <w:rsid w:val="6B8055ED"/>
    <w:rsid w:val="6BBF6767"/>
    <w:rsid w:val="6BD519A9"/>
    <w:rsid w:val="6BFE5571"/>
    <w:rsid w:val="6C2D3F35"/>
    <w:rsid w:val="6C420E9C"/>
    <w:rsid w:val="6C4C6E1C"/>
    <w:rsid w:val="6C6A3F4B"/>
    <w:rsid w:val="6CA40DC2"/>
    <w:rsid w:val="6CBF4F2D"/>
    <w:rsid w:val="6CD05DCC"/>
    <w:rsid w:val="6D0205BA"/>
    <w:rsid w:val="6D845474"/>
    <w:rsid w:val="6DBE774E"/>
    <w:rsid w:val="6DE61751"/>
    <w:rsid w:val="6DE96CB8"/>
    <w:rsid w:val="6DF167E1"/>
    <w:rsid w:val="6E8B52E0"/>
    <w:rsid w:val="6F5C60D4"/>
    <w:rsid w:val="6F627207"/>
    <w:rsid w:val="6F8A62CB"/>
    <w:rsid w:val="6F8C3A16"/>
    <w:rsid w:val="6FD2187C"/>
    <w:rsid w:val="70005BAF"/>
    <w:rsid w:val="70081862"/>
    <w:rsid w:val="703029D2"/>
    <w:rsid w:val="706C0B9A"/>
    <w:rsid w:val="70734B34"/>
    <w:rsid w:val="707F24A7"/>
    <w:rsid w:val="709A3D9E"/>
    <w:rsid w:val="70AD066A"/>
    <w:rsid w:val="70C473C9"/>
    <w:rsid w:val="70D078E2"/>
    <w:rsid w:val="70E414CB"/>
    <w:rsid w:val="71044D9D"/>
    <w:rsid w:val="71055CE7"/>
    <w:rsid w:val="71226BED"/>
    <w:rsid w:val="71588351"/>
    <w:rsid w:val="715A3DCB"/>
    <w:rsid w:val="71685132"/>
    <w:rsid w:val="71852CD8"/>
    <w:rsid w:val="71A14423"/>
    <w:rsid w:val="71E028A3"/>
    <w:rsid w:val="72017BB8"/>
    <w:rsid w:val="7204421B"/>
    <w:rsid w:val="720D6687"/>
    <w:rsid w:val="722F2E4C"/>
    <w:rsid w:val="72504C13"/>
    <w:rsid w:val="72530714"/>
    <w:rsid w:val="72546013"/>
    <w:rsid w:val="727F38FA"/>
    <w:rsid w:val="72993A93"/>
    <w:rsid w:val="72BD2D0C"/>
    <w:rsid w:val="72CD4069"/>
    <w:rsid w:val="7348765D"/>
    <w:rsid w:val="73642249"/>
    <w:rsid w:val="737F7858"/>
    <w:rsid w:val="73B02321"/>
    <w:rsid w:val="73E65158"/>
    <w:rsid w:val="74045844"/>
    <w:rsid w:val="742749F8"/>
    <w:rsid w:val="74783628"/>
    <w:rsid w:val="74980256"/>
    <w:rsid w:val="74A2511E"/>
    <w:rsid w:val="751F4274"/>
    <w:rsid w:val="757165DA"/>
    <w:rsid w:val="75CA5D3F"/>
    <w:rsid w:val="75FD6864"/>
    <w:rsid w:val="761C62F6"/>
    <w:rsid w:val="76273A62"/>
    <w:rsid w:val="765C411D"/>
    <w:rsid w:val="765C6F7D"/>
    <w:rsid w:val="76654940"/>
    <w:rsid w:val="766559B4"/>
    <w:rsid w:val="766E5645"/>
    <w:rsid w:val="7673220A"/>
    <w:rsid w:val="76AD08F4"/>
    <w:rsid w:val="76AE52F4"/>
    <w:rsid w:val="76C569AE"/>
    <w:rsid w:val="76DC3792"/>
    <w:rsid w:val="76F61CB7"/>
    <w:rsid w:val="77056E1C"/>
    <w:rsid w:val="77094A2E"/>
    <w:rsid w:val="770B7945"/>
    <w:rsid w:val="770C1A51"/>
    <w:rsid w:val="771760BD"/>
    <w:rsid w:val="77583A51"/>
    <w:rsid w:val="776B58C1"/>
    <w:rsid w:val="77A94A1A"/>
    <w:rsid w:val="77AA0845"/>
    <w:rsid w:val="77D97C19"/>
    <w:rsid w:val="78077A4A"/>
    <w:rsid w:val="782E7E31"/>
    <w:rsid w:val="78383184"/>
    <w:rsid w:val="78795CD6"/>
    <w:rsid w:val="790D5F92"/>
    <w:rsid w:val="79340D5C"/>
    <w:rsid w:val="794357FD"/>
    <w:rsid w:val="797A5D25"/>
    <w:rsid w:val="798950D1"/>
    <w:rsid w:val="798B1458"/>
    <w:rsid w:val="799856B5"/>
    <w:rsid w:val="7A247909"/>
    <w:rsid w:val="7A490D2F"/>
    <w:rsid w:val="7A5710C6"/>
    <w:rsid w:val="7A5A246A"/>
    <w:rsid w:val="7A6E6AF6"/>
    <w:rsid w:val="7A921639"/>
    <w:rsid w:val="7AA01263"/>
    <w:rsid w:val="7AD31C0E"/>
    <w:rsid w:val="7AFD2B2A"/>
    <w:rsid w:val="7B113279"/>
    <w:rsid w:val="7B2C5641"/>
    <w:rsid w:val="7B31273F"/>
    <w:rsid w:val="7B60022D"/>
    <w:rsid w:val="7B6479D0"/>
    <w:rsid w:val="7BFB3417"/>
    <w:rsid w:val="7BFC2507"/>
    <w:rsid w:val="7C1A2DA4"/>
    <w:rsid w:val="7C4B12FE"/>
    <w:rsid w:val="7C9E730A"/>
    <w:rsid w:val="7CBBCA35"/>
    <w:rsid w:val="7D0278A8"/>
    <w:rsid w:val="7D107B6E"/>
    <w:rsid w:val="7D596D6C"/>
    <w:rsid w:val="7D787E00"/>
    <w:rsid w:val="7D9F1826"/>
    <w:rsid w:val="7DAF234C"/>
    <w:rsid w:val="7DBB0DEA"/>
    <w:rsid w:val="7DCA65AC"/>
    <w:rsid w:val="7DE329CE"/>
    <w:rsid w:val="7E3A03D7"/>
    <w:rsid w:val="7E3A13EE"/>
    <w:rsid w:val="7E453A68"/>
    <w:rsid w:val="7E680042"/>
    <w:rsid w:val="7EA1105B"/>
    <w:rsid w:val="7EA741D8"/>
    <w:rsid w:val="7EBB3930"/>
    <w:rsid w:val="7EE94CBB"/>
    <w:rsid w:val="7F2BFCB7"/>
    <w:rsid w:val="7F37016E"/>
    <w:rsid w:val="7F686EE0"/>
    <w:rsid w:val="7FAD7090"/>
    <w:rsid w:val="9FBEB730"/>
    <w:rsid w:val="DAFD08E4"/>
    <w:rsid w:val="DFC728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footer"/>
    <w:basedOn w:val="1"/>
    <w:link w:val="30"/>
    <w:unhideWhenUsed/>
    <w:qFormat/>
    <w:uiPriority w:val="99"/>
    <w:pPr>
      <w:tabs>
        <w:tab w:val="center" w:pos="4153"/>
        <w:tab w:val="right" w:pos="8306"/>
      </w:tabs>
      <w:snapToGrid w:val="0"/>
      <w:jc w:val="left"/>
    </w:pPr>
    <w:rPr>
      <w:sz w:val="18"/>
      <w:szCs w:val="18"/>
    </w:rPr>
  </w:style>
  <w:style w:type="paragraph" w:styleId="7">
    <w:name w:val="Normal Indent"/>
    <w:basedOn w:val="1"/>
    <w:qFormat/>
    <w:uiPriority w:val="0"/>
    <w:pPr>
      <w:ind w:firstLine="420"/>
    </w:pPr>
    <w:rPr>
      <w:szCs w:val="20"/>
    </w:rPr>
  </w:style>
  <w:style w:type="paragraph" w:styleId="8">
    <w:name w:val="annotation text"/>
    <w:basedOn w:val="1"/>
    <w:semiHidden/>
    <w:qFormat/>
    <w:uiPriority w:val="99"/>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pPr>
      <w:spacing w:after="120"/>
    </w:pPr>
  </w:style>
  <w:style w:type="paragraph" w:styleId="11">
    <w:name w:val="Body Text Indent"/>
    <w:basedOn w:val="1"/>
    <w:next w:val="12"/>
    <w:qFormat/>
    <w:uiPriority w:val="0"/>
    <w:pPr>
      <w:ind w:firstLine="830" w:firstLineChars="352"/>
    </w:pPr>
    <w:rPr>
      <w:rFonts w:ascii="仿宋_GB2312" w:eastAsia="仿宋_GB2312"/>
      <w:kern w:val="0"/>
      <w:sz w:val="32"/>
      <w:szCs w:val="20"/>
    </w:rPr>
  </w:style>
  <w:style w:type="paragraph" w:styleId="12">
    <w:name w:val="envelope return"/>
    <w:basedOn w:val="1"/>
    <w:qFormat/>
    <w:uiPriority w:val="0"/>
    <w:pPr>
      <w:snapToGrid w:val="0"/>
    </w:pPr>
    <w:rPr>
      <w:rFonts w:ascii="Arial" w:hAnsi="Arial"/>
    </w:rPr>
  </w:style>
  <w:style w:type="paragraph" w:styleId="13">
    <w:name w:val="Block Text"/>
    <w:basedOn w:val="1"/>
    <w:qFormat/>
    <w:uiPriority w:val="0"/>
    <w:pPr>
      <w:ind w:left="1440" w:leftChars="700" w:right="700" w:rightChars="700"/>
    </w:pPr>
  </w:style>
  <w:style w:type="paragraph" w:styleId="14">
    <w:name w:val="Plain Text"/>
    <w:basedOn w:val="1"/>
    <w:next w:val="1"/>
    <w:qFormat/>
    <w:uiPriority w:val="0"/>
    <w:rPr>
      <w:rFonts w:ascii="宋体" w:eastAsia="宋体" w:cs="Courier New"/>
      <w:szCs w:val="21"/>
    </w:rPr>
  </w:style>
  <w:style w:type="paragraph" w:styleId="15">
    <w:name w:val="header"/>
    <w:basedOn w:val="1"/>
    <w:next w:val="13"/>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Indent 3"/>
    <w:basedOn w:val="1"/>
    <w:qFormat/>
    <w:uiPriority w:val="0"/>
    <w:pPr>
      <w:ind w:firstLine="720"/>
    </w:pPr>
    <w:rPr>
      <w:sz w:val="28"/>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index 1"/>
    <w:basedOn w:val="1"/>
    <w:next w:val="1"/>
    <w:semiHidden/>
    <w:qFormat/>
    <w:uiPriority w:val="0"/>
    <w:pPr>
      <w:spacing w:line="400" w:lineRule="exact"/>
      <w:ind w:firstLine="420" w:firstLineChars="200"/>
    </w:pPr>
    <w:rPr>
      <w:rFonts w:ascii="宋体" w:hAnsi="Courier New"/>
      <w:b/>
      <w:szCs w:val="20"/>
    </w:rPr>
  </w:style>
  <w:style w:type="paragraph" w:styleId="20">
    <w:name w:val="Body Text First Indent"/>
    <w:basedOn w:val="10"/>
    <w:next w:val="1"/>
    <w:qFormat/>
    <w:uiPriority w:val="0"/>
    <w:pPr>
      <w:ind w:firstLine="420" w:firstLineChars="100"/>
    </w:pPr>
    <w:rPr>
      <w:rFonts w:ascii="宋体" w:hAnsi="Courier New"/>
      <w:kern w:val="0"/>
      <w:sz w:val="20"/>
      <w:szCs w:val="21"/>
    </w:rPr>
  </w:style>
  <w:style w:type="table" w:styleId="22">
    <w:name w:val="Table Grid"/>
    <w:basedOn w:val="2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FollowedHyperlink"/>
    <w:basedOn w:val="23"/>
    <w:unhideWhenUsed/>
    <w:qFormat/>
    <w:uiPriority w:val="99"/>
    <w:rPr>
      <w:color w:val="800080"/>
      <w:u w:val="single"/>
    </w:rPr>
  </w:style>
  <w:style w:type="character" w:styleId="26">
    <w:name w:val="Hyperlink"/>
    <w:basedOn w:val="23"/>
    <w:unhideWhenUsed/>
    <w:qFormat/>
    <w:uiPriority w:val="99"/>
    <w:rPr>
      <w:color w:val="0000FF"/>
      <w:u w:val="single"/>
    </w:rPr>
  </w:style>
  <w:style w:type="paragraph" w:customStyle="1" w:styleId="27">
    <w:name w:val="表格文字"/>
    <w:basedOn w:val="11"/>
    <w:unhideWhenUsed/>
    <w:qFormat/>
    <w:uiPriority w:val="0"/>
    <w:pPr>
      <w:spacing w:before="25" w:beforeLines="0" w:after="25" w:afterLines="0"/>
      <w:jc w:val="left"/>
    </w:pPr>
    <w:rPr>
      <w:rFonts w:hint="default"/>
      <w:spacing w:val="10"/>
      <w:kern w:val="0"/>
      <w:sz w:val="24"/>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3"/>
    <w:link w:val="15"/>
    <w:qFormat/>
    <w:uiPriority w:val="99"/>
    <w:rPr>
      <w:sz w:val="18"/>
      <w:szCs w:val="18"/>
    </w:rPr>
  </w:style>
  <w:style w:type="character" w:customStyle="1" w:styleId="30">
    <w:name w:val="页脚 字符"/>
    <w:basedOn w:val="23"/>
    <w:link w:val="2"/>
    <w:qFormat/>
    <w:uiPriority w:val="99"/>
    <w:rPr>
      <w:sz w:val="18"/>
      <w:szCs w:val="18"/>
    </w:rPr>
  </w:style>
  <w:style w:type="paragraph" w:customStyle="1"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3"/>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customStyle="1" w:styleId="39">
    <w:name w:val="首行缩进"/>
    <w:basedOn w:val="1"/>
    <w:qFormat/>
    <w:uiPriority w:val="0"/>
    <w:pPr>
      <w:ind w:firstLine="480" w:firstLineChars="200"/>
    </w:pPr>
    <w:rPr>
      <w:szCs w:val="20"/>
    </w:rPr>
  </w:style>
  <w:style w:type="paragraph" w:customStyle="1" w:styleId="40">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qFormat/>
    <w:uiPriority w:val="0"/>
    <w:pPr>
      <w:spacing w:before="50" w:beforeLines="50" w:after="0" w:afterLines="0"/>
    </w:pPr>
    <w:rPr>
      <w:rFonts w:ascii="宋体" w:hAnsi="宋体" w:eastAsia="宋体"/>
      <w:sz w:val="28"/>
      <w:szCs w:val="28"/>
    </w:rPr>
  </w:style>
  <w:style w:type="paragraph" w:customStyle="1" w:styleId="43">
    <w:name w:val="采购三"/>
    <w:basedOn w:val="42"/>
    <w:qFormat/>
    <w:uiPriority w:val="0"/>
    <w:pPr>
      <w:spacing w:before="50" w:beforeLines="50" w:after="50" w:afterLines="50" w:line="240" w:lineRule="auto"/>
      <w:jc w:val="left"/>
    </w:pPr>
    <w:rPr>
      <w:sz w:val="24"/>
      <w:lang w:bidi="zh-CN"/>
    </w:rPr>
  </w:style>
  <w:style w:type="paragraph" w:customStyle="1" w:styleId="44">
    <w:name w:val="Normal_0"/>
    <w:qFormat/>
    <w:uiPriority w:val="0"/>
    <w:rPr>
      <w:rFonts w:eastAsia="Times New Roman" w:asciiTheme="minorHAnsi" w:hAnsiTheme="minorHAnsi" w:cstheme="minorBidi"/>
      <w:sz w:val="24"/>
      <w:szCs w:val="24"/>
      <w:lang w:val="en-US" w:eastAsia="zh-CN" w:bidi="ar-SA"/>
    </w:rPr>
  </w:style>
  <w:style w:type="paragraph" w:customStyle="1" w:styleId="4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47">
    <w:name w:val="font41"/>
    <w:basedOn w:val="23"/>
    <w:qFormat/>
    <w:uiPriority w:val="0"/>
    <w:rPr>
      <w:rFonts w:hint="default" w:ascii="Calibri" w:hAnsi="Calibri" w:cs="Calibri"/>
      <w:b/>
      <w:bCs/>
      <w:color w:val="000000"/>
      <w:sz w:val="22"/>
      <w:szCs w:val="22"/>
      <w:u w:val="none"/>
    </w:rPr>
  </w:style>
  <w:style w:type="character" w:customStyle="1" w:styleId="48">
    <w:name w:val="font51"/>
    <w:basedOn w:val="23"/>
    <w:qFormat/>
    <w:uiPriority w:val="0"/>
    <w:rPr>
      <w:rFonts w:hint="eastAsia" w:ascii="宋体" w:hAnsi="宋体" w:eastAsia="宋体" w:cs="宋体"/>
      <w:b/>
      <w:bCs/>
      <w:color w:val="000000"/>
      <w:sz w:val="22"/>
      <w:szCs w:val="22"/>
      <w:u w:val="none"/>
    </w:rPr>
  </w:style>
  <w:style w:type="character" w:customStyle="1" w:styleId="49">
    <w:name w:val="font31"/>
    <w:basedOn w:val="23"/>
    <w:qFormat/>
    <w:uiPriority w:val="0"/>
    <w:rPr>
      <w:rFonts w:hint="eastAsia" w:ascii="宋体" w:hAnsi="宋体" w:eastAsia="宋体" w:cs="宋体"/>
      <w:color w:val="000000"/>
      <w:sz w:val="22"/>
      <w:szCs w:val="22"/>
      <w:u w:val="none"/>
    </w:rPr>
  </w:style>
  <w:style w:type="character" w:customStyle="1" w:styleId="50">
    <w:name w:val="font61"/>
    <w:basedOn w:val="23"/>
    <w:qFormat/>
    <w:uiPriority w:val="0"/>
    <w:rPr>
      <w:rFonts w:hint="default" w:ascii="Calibri" w:hAnsi="Calibri" w:cs="Calibri"/>
      <w:b/>
      <w:color w:val="000000"/>
      <w:sz w:val="22"/>
      <w:szCs w:val="22"/>
      <w:u w:val="none"/>
    </w:rPr>
  </w:style>
  <w:style w:type="character" w:customStyle="1" w:styleId="51">
    <w:name w:val="font71"/>
    <w:basedOn w:val="23"/>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22024</Words>
  <Characters>25005</Characters>
  <Lines>54</Lines>
  <Paragraphs>15</Paragraphs>
  <TotalTime>45</TotalTime>
  <ScaleCrop>false</ScaleCrop>
  <LinksUpToDate>false</LinksUpToDate>
  <CharactersWithSpaces>26871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2020-03-10T21:45:00Z</dcterms:created>
  <dc:creator>Zeng Bin Fan</dc:creator>
  <cp:lastModifiedBy>wogoqo</cp:lastModifiedBy>
  <dcterms:modified xsi:type="dcterms:W3CDTF">2023-05-30T07:20:37Z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44C5485D7DE545D395241B3D264248C4_13</vt:lpwstr>
  </property>
</Properties>
</file>