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采购文件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项目概况：广西自贸区钦州港片区开发投资集团有限责任公司关于自贸大厦22楼档案室密集架（第二批）采购项目，采购项目的潜在供应商</w:t>
      </w:r>
      <w:r>
        <w:rPr>
          <w:rFonts w:hint="default" w:ascii="宋体" w:hAnsi="宋体" w:eastAsia="宋体" w:cs="宋体"/>
          <w:b w:val="0"/>
          <w:bCs w:val="0"/>
          <w:color w:val="auto"/>
          <w:kern w:val="0"/>
          <w:sz w:val="21"/>
          <w:szCs w:val="21"/>
          <w:highlight w:val="none"/>
          <w:lang w:val="en-US" w:eastAsia="zh-CN" w:bidi="zh-CN"/>
        </w:rPr>
        <w:t>应在广西自贸区钦州港片区开发投资集团有限责任公司网站http://www.qbtzjt.com获取（下载）采购文件</w:t>
      </w:r>
      <w:r>
        <w:rPr>
          <w:rFonts w:hint="eastAsia" w:ascii="宋体" w:hAnsi="宋体" w:eastAsia="宋体" w:cs="宋体"/>
          <w:b w:val="0"/>
          <w:bCs w:val="0"/>
          <w:color w:val="auto"/>
          <w:kern w:val="0"/>
          <w:sz w:val="21"/>
          <w:szCs w:val="21"/>
          <w:highlight w:val="none"/>
          <w:lang w:val="en-US" w:eastAsia="zh-CN" w:bidi="zh-CN"/>
        </w:rPr>
        <w:t>，并于2023年06月1日14点00分（北京时间）前提交响应文件。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第一部分 项目概况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一、项目基本情况：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项目名称：自贸大厦22楼档案室密集架（第二批）采购项目。</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定标方式：</w:t>
      </w:r>
      <w:r>
        <w:rPr>
          <w:rFonts w:hint="default" w:ascii="宋体" w:hAnsi="宋体" w:eastAsia="宋体" w:cs="宋体"/>
          <w:b w:val="0"/>
          <w:bCs w:val="0"/>
          <w:color w:val="auto"/>
          <w:kern w:val="0"/>
          <w:sz w:val="21"/>
          <w:szCs w:val="21"/>
          <w:highlight w:val="none"/>
          <w:lang w:val="en-US" w:eastAsia="zh-CN" w:bidi="zh-CN"/>
        </w:rPr>
        <w:t>综合评估法</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采购预算：117250元</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采购需求：见下表（范围包括：设备的供应、运输、安装、调试和售后服务等。）</w:t>
      </w:r>
    </w:p>
    <w:tbl>
      <w:tblPr>
        <w:tblStyle w:val="9"/>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7"/>
        <w:gridCol w:w="1403"/>
        <w:gridCol w:w="705"/>
        <w:gridCol w:w="857"/>
        <w:gridCol w:w="2933"/>
        <w:gridCol w:w="1145"/>
        <w:gridCol w:w="113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pacing w:val="-20"/>
                <w:sz w:val="24"/>
                <w:szCs w:val="24"/>
              </w:rPr>
            </w:pPr>
            <w:r>
              <w:rPr>
                <w:rFonts w:hint="eastAsia" w:hAnsi="宋体" w:cs="宋体"/>
                <w:spacing w:val="-20"/>
                <w:sz w:val="24"/>
                <w:szCs w:val="24"/>
              </w:rPr>
              <w:t>序号</w:t>
            </w:r>
          </w:p>
        </w:tc>
        <w:tc>
          <w:tcPr>
            <w:tcW w:w="76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140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85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293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单项合价</w:t>
            </w:r>
          </w:p>
          <w:p>
            <w:pPr>
              <w:pStyle w:val="6"/>
              <w:adjustRightInd w:val="0"/>
              <w:snapToGrid w:val="0"/>
              <w:jc w:val="center"/>
              <w:rPr>
                <w:rFonts w:hAnsi="宋体" w:cs="宋体"/>
                <w:sz w:val="24"/>
                <w:szCs w:val="24"/>
              </w:rPr>
            </w:pPr>
            <w:r>
              <w:rPr>
                <w:rFonts w:hint="eastAsia" w:hAnsi="宋体" w:cs="宋体"/>
                <w:sz w:val="24"/>
                <w:szCs w:val="24"/>
              </w:rPr>
              <w:t>（元）</w:t>
            </w:r>
          </w:p>
          <w:p>
            <w:pPr>
              <w:pStyle w:val="6"/>
              <w:adjustRightInd w:val="0"/>
              <w:snapToGrid w:val="0"/>
              <w:jc w:val="center"/>
              <w:rPr>
                <w:rFonts w:hAnsi="宋体" w:cs="宋体"/>
                <w:sz w:val="24"/>
                <w:szCs w:val="24"/>
              </w:rPr>
            </w:pPr>
            <w:r>
              <w:rPr>
                <w:rFonts w:hint="eastAsia" w:hAnsi="宋体" w:cs="宋体"/>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4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767"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bCs/>
                <w:sz w:val="24"/>
                <w:lang w:eastAsia="zh-CN"/>
              </w:rPr>
              <w:t>档案</w:t>
            </w:r>
            <w:r>
              <w:rPr>
                <w:rFonts w:hint="eastAsia" w:ascii="宋体" w:hAnsi="宋体" w:cs="宋体"/>
                <w:bCs/>
                <w:sz w:val="24"/>
              </w:rPr>
              <w:t>存储架</w:t>
            </w:r>
          </w:p>
        </w:tc>
        <w:tc>
          <w:tcPr>
            <w:tcW w:w="1403" w:type="dxa"/>
            <w:tcBorders>
              <w:top w:val="single" w:color="auto" w:sz="4" w:space="0"/>
              <w:left w:val="single" w:color="auto" w:sz="4" w:space="0"/>
              <w:right w:val="single" w:color="auto" w:sz="4" w:space="0"/>
            </w:tcBorders>
            <w:vAlign w:val="center"/>
          </w:tcPr>
          <w:p>
            <w:pPr>
              <w:pStyle w:val="19"/>
              <w:adjustRightInd w:val="0"/>
              <w:snapToGrid w:val="0"/>
              <w:rPr>
                <w:rFonts w:ascii="宋体" w:hAnsi="宋体" w:cs="宋体"/>
              </w:rPr>
            </w:pPr>
            <w:r>
              <w:rPr>
                <w:rFonts w:hint="eastAsia" w:ascii="宋体" w:hAnsi="宋体" w:cs="宋体"/>
                <w:b/>
                <w:bCs w:val="0"/>
              </w:rPr>
              <w:t>规格：</w:t>
            </w:r>
          </w:p>
          <w:p>
            <w:pPr>
              <w:pStyle w:val="19"/>
              <w:adjustRightInd w:val="0"/>
              <w:snapToGrid w:val="0"/>
              <w:rPr>
                <w:rFonts w:ascii="宋体" w:hAnsi="宋体" w:cs="宋体"/>
                <w:b/>
                <w:color w:val="FF0000"/>
              </w:rPr>
            </w:pPr>
            <w:r>
              <w:rPr>
                <w:rFonts w:ascii="Tahoma" w:hAnsi="Tahoma" w:eastAsia="Tahoma" w:cs="Tahoma"/>
                <w:i w:val="0"/>
                <w:iCs w:val="0"/>
                <w:caps w:val="0"/>
                <w:color w:val="333333"/>
                <w:spacing w:val="0"/>
                <w:sz w:val="21"/>
                <w:szCs w:val="21"/>
                <w:shd w:val="clear" w:fill="FFFFFF"/>
              </w:rPr>
              <w:t>长5米*高2.5米*10列=125平方米</w:t>
            </w:r>
          </w:p>
          <w:p>
            <w:pPr>
              <w:pStyle w:val="19"/>
              <w:adjustRightInd w:val="0"/>
              <w:snapToGrid w:val="0"/>
              <w:rPr>
                <w:rFonts w:ascii="宋体" w:hAnsi="宋体" w:cs="宋体"/>
                <w:b/>
                <w:color w:val="FF0000"/>
              </w:rPr>
            </w:pPr>
            <w:r>
              <w:rPr>
                <w:rFonts w:hint="eastAsia" w:ascii="宋体" w:hAnsi="宋体" w:cs="宋体"/>
                <w:b/>
                <w:color w:val="FF0000"/>
              </w:rPr>
              <w:t>双柱双面6层</w:t>
            </w:r>
          </w:p>
        </w:tc>
        <w:tc>
          <w:tcPr>
            <w:tcW w:w="705" w:type="dxa"/>
            <w:tcBorders>
              <w:top w:val="single" w:color="auto" w:sz="4" w:space="0"/>
              <w:left w:val="single" w:color="auto" w:sz="4" w:space="0"/>
              <w:right w:val="single" w:color="auto" w:sz="4" w:space="0"/>
            </w:tcBorders>
            <w:vAlign w:val="center"/>
          </w:tcPr>
          <w:p>
            <w:pPr>
              <w:pStyle w:val="6"/>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125</w:t>
            </w:r>
          </w:p>
        </w:tc>
        <w:tc>
          <w:tcPr>
            <w:tcW w:w="857" w:type="dxa"/>
            <w:tcBorders>
              <w:top w:val="single" w:color="auto" w:sz="4" w:space="0"/>
              <w:left w:val="single" w:color="auto" w:sz="4" w:space="0"/>
              <w:right w:val="single" w:color="auto" w:sz="4" w:space="0"/>
            </w:tcBorders>
            <w:vAlign w:val="center"/>
          </w:tcPr>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平</w:t>
            </w:r>
          </w:p>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方</w:t>
            </w:r>
          </w:p>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米</w:t>
            </w:r>
          </w:p>
        </w:tc>
        <w:tc>
          <w:tcPr>
            <w:tcW w:w="2933" w:type="dxa"/>
            <w:tcBorders>
              <w:top w:val="single" w:color="auto" w:sz="4" w:space="0"/>
              <w:left w:val="single" w:color="auto" w:sz="4" w:space="0"/>
              <w:right w:val="single" w:color="auto" w:sz="4" w:space="0"/>
            </w:tcBorders>
            <w:vAlign w:val="center"/>
          </w:tcPr>
          <w:p>
            <w:pPr>
              <w:pStyle w:val="19"/>
              <w:adjustRightInd w:val="0"/>
              <w:snapToGrid w:val="0"/>
              <w:ind w:firstLine="520" w:firstLineChars="200"/>
              <w:rPr>
                <w:rFonts w:hint="eastAsia"/>
                <w:lang w:val="en-US" w:eastAsia="zh-CN"/>
              </w:rPr>
            </w:pPr>
            <w:r>
              <w:rPr>
                <w:rFonts w:hint="eastAsia"/>
                <w:lang w:val="en-US" w:eastAsia="zh-CN"/>
              </w:rPr>
              <w:t>根据库房空间面积，可设计双柱双面6层档案存储架5组一列10列一个团体。</w:t>
            </w:r>
          </w:p>
          <w:p>
            <w:pPr>
              <w:adjustRightInd w:val="0"/>
              <w:snapToGrid w:val="0"/>
              <w:rPr>
                <w:rFonts w:hint="eastAsia"/>
                <w:lang w:val="en-US" w:eastAsia="zh-CN"/>
              </w:rPr>
            </w:pPr>
            <w:r>
              <w:rPr>
                <w:rFonts w:hint="eastAsia"/>
                <w:lang w:val="en-US" w:eastAsia="zh-CN"/>
              </w:rPr>
              <w:t>1、六层密集架，</w:t>
            </w:r>
          </w:p>
          <w:p>
            <w:pPr>
              <w:adjustRightInd w:val="0"/>
              <w:snapToGrid w:val="0"/>
              <w:rPr>
                <w:rFonts w:hint="eastAsia"/>
                <w:lang w:val="en-US" w:eastAsia="zh-CN"/>
              </w:rPr>
            </w:pPr>
            <w:r>
              <w:rPr>
                <w:rFonts w:hint="eastAsia"/>
                <w:lang w:val="en-US" w:eastAsia="zh-CN"/>
              </w:rPr>
              <w:t>2、规格（高2500×长5000×深580mm）/列，按实际场地列数组合6组/列，计10列每组标配6层，双面存放档案，层板活动高低可调。</w:t>
            </w:r>
          </w:p>
          <w:p>
            <w:pPr>
              <w:adjustRightInd w:val="0"/>
              <w:snapToGrid w:val="0"/>
              <w:rPr>
                <w:rFonts w:hint="eastAsia"/>
                <w:lang w:val="en-US" w:eastAsia="zh-CN"/>
              </w:rPr>
            </w:pPr>
            <w:r>
              <w:rPr>
                <w:rFonts w:hint="eastAsia"/>
                <w:lang w:val="en-US" w:eastAsia="zh-CN"/>
              </w:rPr>
              <w:t>3、材料厚度：</w:t>
            </w:r>
          </w:p>
          <w:p>
            <w:pPr>
              <w:adjustRightInd w:val="0"/>
              <w:snapToGrid w:val="0"/>
              <w:rPr>
                <w:rFonts w:hint="default"/>
                <w:lang w:val="en-US" w:eastAsia="zh-CN"/>
              </w:rPr>
            </w:pPr>
            <w:r>
              <w:rPr>
                <w:rFonts w:hint="eastAsia"/>
                <w:lang w:val="en-US" w:eastAsia="zh-CN"/>
              </w:rPr>
              <w:t>立柱1.5mm ；层板1.2 mm ；挂板1.0mm ；侧板1.0 mm ；面门1.0 m ：底盘3.0 mm ；4.三根组合式轨道实心导轨20×20mm  304不锈钢方钢。轨道座3.0mm铝合金。</w:t>
            </w:r>
          </w:p>
          <w:p>
            <w:pPr>
              <w:numPr>
                <w:ilvl w:val="0"/>
                <w:numId w:val="0"/>
              </w:numPr>
              <w:adjustRightInd w:val="0"/>
              <w:snapToGrid w:val="0"/>
              <w:rPr>
                <w:rFonts w:hint="eastAsia"/>
                <w:lang w:val="en-US" w:eastAsia="zh-CN"/>
              </w:rPr>
            </w:pPr>
            <w:r>
              <w:rPr>
                <w:rFonts w:hint="eastAsia"/>
                <w:lang w:val="en-US" w:eastAsia="zh-CN"/>
              </w:rPr>
              <w:t>5.材质要求：产品金属架体、板材及配件均应选用优质大型企业生产的优质冷轧钢材。</w:t>
            </w:r>
          </w:p>
          <w:p>
            <w:pPr>
              <w:pStyle w:val="12"/>
              <w:numPr>
                <w:ilvl w:val="0"/>
                <w:numId w:val="0"/>
              </w:numPr>
              <w:rPr>
                <w:rFonts w:hint="default"/>
                <w:lang w:val="en-US" w:eastAsia="zh-CN"/>
              </w:rPr>
            </w:pPr>
            <w:r>
              <w:rPr>
                <w:rFonts w:hint="eastAsia" w:asciiTheme="minorHAnsi" w:hAnsiTheme="minorHAnsi" w:eastAsiaTheme="minorEastAsia" w:cstheme="minorBidi"/>
                <w:color w:val="auto"/>
                <w:kern w:val="2"/>
                <w:sz w:val="21"/>
                <w:szCs w:val="22"/>
                <w:lang w:val="en-US" w:eastAsia="zh-CN" w:bidi="ar-SA"/>
              </w:rPr>
              <w:t>6.含书车书梯各一辆</w:t>
            </w:r>
          </w:p>
        </w:tc>
        <w:tc>
          <w:tcPr>
            <w:tcW w:w="1145" w:type="dxa"/>
            <w:tcBorders>
              <w:top w:val="single" w:color="auto" w:sz="4" w:space="0"/>
              <w:left w:val="single" w:color="auto" w:sz="4" w:space="0"/>
              <w:right w:val="single" w:color="auto" w:sz="4" w:space="0"/>
            </w:tcBorders>
            <w:vAlign w:val="center"/>
          </w:tcPr>
          <w:p>
            <w:pPr>
              <w:pStyle w:val="12"/>
              <w:rPr>
                <w:rFonts w:hint="default" w:hAnsi="宋体" w:cs="宋体"/>
                <w:sz w:val="24"/>
                <w:szCs w:val="24"/>
                <w:lang w:val="en-US" w:eastAsia="zh-CN"/>
              </w:rPr>
            </w:pPr>
          </w:p>
        </w:tc>
        <w:tc>
          <w:tcPr>
            <w:tcW w:w="1135" w:type="dxa"/>
            <w:tcBorders>
              <w:top w:val="single" w:color="auto" w:sz="4" w:space="0"/>
              <w:left w:val="single" w:color="auto" w:sz="4" w:space="0"/>
              <w:right w:val="single" w:color="auto" w:sz="4" w:space="0"/>
            </w:tcBorders>
            <w:vAlign w:val="center"/>
          </w:tcPr>
          <w:p>
            <w:pPr>
              <w:pStyle w:val="12"/>
              <w:rPr>
                <w:rFonts w:hint="eastAsia" w:hAnsi="宋体" w:cs="宋体"/>
                <w:sz w:val="24"/>
                <w:szCs w:val="24"/>
                <w:u w:val="single"/>
              </w:rPr>
            </w:pPr>
          </w:p>
          <w:p>
            <w:pPr>
              <w:pStyle w:val="12"/>
              <w:rPr>
                <w:rFonts w:hint="eastAsia" w:hAnsi="宋体" w:cs="宋体"/>
                <w:sz w:val="24"/>
                <w:szCs w:val="24"/>
                <w:u w:val="single"/>
              </w:rPr>
            </w:pPr>
          </w:p>
          <w:p>
            <w:pPr>
              <w:pStyle w:val="12"/>
              <w:rPr>
                <w:rFonts w:hint="eastAsia" w:hAnsi="宋体" w:cs="宋体"/>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color w:val="FF0000"/>
                <w:spacing w:val="-6"/>
                <w:sz w:val="24"/>
                <w:szCs w:val="24"/>
              </w:rPr>
            </w:pPr>
            <w:r>
              <w:rPr>
                <w:rFonts w:hint="eastAsia" w:hAnsi="宋体" w:cs="宋体"/>
                <w:b/>
                <w:color w:val="FF0000"/>
                <w:spacing w:val="-6"/>
                <w:sz w:val="24"/>
                <w:szCs w:val="24"/>
              </w:rPr>
              <w:t>免费保修</w:t>
            </w:r>
            <w:r>
              <w:rPr>
                <w:rFonts w:hint="eastAsia" w:hAnsi="宋体" w:cs="宋体"/>
                <w:b/>
                <w:color w:val="FF0000"/>
                <w:spacing w:val="-6"/>
                <w:sz w:val="24"/>
                <w:szCs w:val="24"/>
                <w:lang w:eastAsia="zh-CN"/>
              </w:rPr>
              <w:t>五</w:t>
            </w:r>
            <w:r>
              <w:rPr>
                <w:rFonts w:hint="eastAsia" w:hAnsi="宋体" w:cs="宋体"/>
                <w:b/>
                <w:color w:val="FF0000"/>
                <w:spacing w:val="-6"/>
                <w:sz w:val="24"/>
                <w:szCs w:val="24"/>
              </w:rPr>
              <w:t>年</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right="0" w:rightChars="0"/>
        <w:textAlignment w:val="auto"/>
        <w:rPr>
          <w:rFonts w:hint="eastAsia" w:ascii="宋体" w:hAnsi="宋体" w:eastAsia="宋体" w:cs="宋体"/>
          <w:b w:val="0"/>
          <w:bCs w:val="0"/>
          <w:color w:val="auto"/>
          <w:kern w:val="0"/>
          <w:sz w:val="21"/>
          <w:szCs w:val="21"/>
          <w:highlight w:val="none"/>
          <w:lang w:val="en-US" w:eastAsia="zh-CN" w:bidi="zh-CN"/>
        </w:rPr>
      </w:pPr>
      <w:bookmarkStart w:id="3" w:name="_GoBack"/>
      <w:bookmarkEnd w:id="3"/>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报价模板见附件1：按附件模板报价，并密封装订送达，供应商应报出一次不可更改的成交价格。</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采购联系人：曾斌繁  联系电话：0777-5881239</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二、响应文件的编制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 响应文件编制基本要求</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1.1供应商对响应文件的编制应按要求装订和封装。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1.2供应商提交的响应文件以及供应商与采购人就有关评审的所有来往函电均应使用中文。供应商提交的支持文件和印刷的文献可以使用别的语言，但其相应内容必须附有中文翻译文本，在解释响应文件时以翻译文本为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1.3供应商应认真阅读、并充分理解本文件的全部内容（包括所有的补充、修改内容），承诺并履行本文件中各项条款规定及要求。</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1.4响应文件必须按本文件的全部内容，包括所有的补充通知及附件进行编制。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1.5如因供应商只填写和提供了本文件要求的部分内容和附件，而给评审造成困难，其可能导致的结果和责任由供应商自行承担。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1.6响应文件的组成：响应文件应分为价格文件、商务文件和技术文件三个部分组成。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1.6.1 价格文件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★（1）竞标报价明细表(必须提供，加盖公章)；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（2）供应商针对报价需要说明的其他文件和说明（格式自拟）。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1.6.2商务文件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★（1）供应商资格证明文件：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★①有效的营业执照、组织机构代码证、税务登记证（或有统一社会信用代码的“三证合一”营业执照）复印件或事业单位法人证书复印件(必须提供，加盖公章)；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★②法定代表人身份证复印件(必须提供，加盖公章)；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★③法定代表人授权委托书和委托代理人身份证复印件（委托代理时提供，格式见后）(必须提供，加盖公章)；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★商务条款偏离表必须提供，加盖公章)；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供应商认为可以证明其能力或业绩的其他材料（格式自拟）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供应商认为必要提供的证明的其他文件资料。</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1.6.3技术文件：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①对本项目总体要求的理解。包括：功能说明、性能指标及设备选型说明（质量、性能、价格、外观、体积等方面进行比较和选择的理由及过程）；</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②产品出厂标准、质量检测报告及精度检测报告或数据（格式自拟）；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③原厂出厂配置表及原厂中文使用说明书（格式自拟）；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★④设备配置清单；</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⑤技术响应表；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⑥ 实施方案（包含但不限于供应商运输方案 、安装调试计划、培训计划、应急措施、技术人员安排人员配备、设备、进度计划、安装调试方案、验收方法与措施等详细内容）（格式自拟）；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⑦技术服务、售后服务的内容和措施（格式自拟）；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⑧选配件、专用耗材、售后服务优惠表；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⑨供应商需要说明的其他文件和说明（格式自拟）；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注：编号前标有“★”号的材料均为必须提供的材料，并加盖公章,如未提供,评审小组有权拒绝其采购响应文件。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1.7响应文件有效期：见评审须知前附表。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1.8评审保证金：见评审须知前附表。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 计量单位</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2.1除技术要求中另有规定外，本文件所要求使用的计量单位均应采用国家法定计量单位。</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三、评审报价及采购预算</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3.2供应商必须就本项目采购需求中的全部内容作完整报价，每轮报价均应是唯一报价，最后报价是供应商响应文件的有效组成部分。最后报价出现漏项报价的或有选择的或有条件的报价，其响应文件将视为无效。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3.3 采购预算金额（人民币）：（大写）拾壹万柒仟贰佰伍拾元整（¥117250元）。</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四、响应文件的份数、封装和递交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 响应文件的份数和封装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4.1供应商应将响应文件中“价格文件”、“商务文件”和“技术文件”装订成一本（文件相隔之间用封面标识，封面写明“价格文件”、“商务文件”、“技术文件”字样）。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供应商将响应文件按正、副本分别装订成册，在每个正、副本封面上标明“正本”或“副本”，以及项目名称、项目编号、供应商名称等内容。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4.2供应商应将响应文件正、副本（正本一份，副本 肆 份）装入到一个响应文件袋内，封装并加以密封签章（公章、法定代表人或其委托代理人签字均可，要求文件袋无明显缝隙露出袋内文件）。文件袋外层封面上应写明：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1）项目编号；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2）项目名称；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3）供应商名称；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4）评审时才能启封。</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 响应文件的递交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5.1响应文件递交截止时间</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响应文件递交截止时间：见评审须知前附表。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供应商应按采购文件中规定的评审截止时间前递交响应文件。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5.2 供应商递交响应文件的地点：采购文件第三条。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 迟交的响应文件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采购人有权拒绝或原封退回在其规定的递交响应文件截止时间之后收到的任何响应文件。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5.5 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经评审确定最终采购需求和提交报价的供应商后，由评审小组采用综合评分法对提交最后报价的供应商的响应文件和报价进行综合评分。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应当根据综合评分情况，按照评审得分由高到低顺序推荐3名成交候选供应商，并编写评审报告。评审得分相同的，按照最后报价由低到高的顺序推荐。评审得分且最后报价相同的，则按照按实施方案得分高低顺序推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5.6出现下列情形之一的，采购人或者采购代理机构应当终止采购采购活动，发布公告并说明原因，重新开展采购活动：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5.7 因情况变化，不再符合规定的采购采购方式适用情形的；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5.8 出现影响采购公正的违法、违规行为的；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5.9 在采购过程中符合要求的供应商或者最后报价超过采购预算的供应商不足2家的。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 特别说明：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6.1供应商所使用的资格、信誉、荣誉、业绩与企业认证必须为本法人所拥有（特殊要求除外）。供应商所使用的采购项目实施人员必须为本法人员工（或必须为本法人或控股公司正式员工）。</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6.2 供应商应仔细阅读采购文件的所有内容，按照采购文件的要求提交响应文件，并对所提供的全部资料的真实性承担法律责任。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6.3 供应商在评审活动中提供任何虚假材料，其评审无效，并报监管部门查处；成交后发现的，成交供应商须依照《中华人民共和国消费者权益保护法》第五十五条第一款之规定三倍赔偿采购人，且民事赔偿并不免除违法供应商的行政与刑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 低于成本报价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评审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 响应文件的修正</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8.1  如果出现计算或表达上的错误，修正的原则如下：</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（1）响应文件中报价表内容与响应文件中相应内容不一致的，以报价表为准；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（2）响应文件的大写金额和小写金额不一致的，以大写金额为准；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（3）总价金额与按单价汇总金额不一致的，以单价金额计算结果为准；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（4）单价金额小数点有明显错位的，应以报价表总价为准，并修改单价。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8.2  按上述修正原则修正后的响应报价经供应商书面确认后对供应商具有约束力。如果供应商不接受修正后的响应报价，则其响应无效。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383838"/>
          <w:spacing w:val="0"/>
          <w:sz w:val="21"/>
          <w:szCs w:val="21"/>
          <w:shd w:val="clear" w:fill="FFFFFF"/>
        </w:rPr>
      </w:pPr>
      <w:r>
        <w:rPr>
          <w:rFonts w:hint="eastAsia" w:ascii="宋体" w:hAnsi="宋体" w:eastAsia="宋体" w:cs="宋体"/>
          <w:b/>
          <w:bCs/>
          <w:i w:val="0"/>
          <w:iCs w:val="0"/>
          <w:caps w:val="0"/>
          <w:color w:val="383838"/>
          <w:spacing w:val="0"/>
          <w:sz w:val="21"/>
          <w:szCs w:val="21"/>
          <w:shd w:val="clear" w:fill="FFFFFF"/>
          <w:lang w:val="en-US" w:eastAsia="zh-CN"/>
        </w:rPr>
        <w:t>三、</w:t>
      </w:r>
      <w:r>
        <w:rPr>
          <w:rFonts w:hint="eastAsia" w:ascii="宋体" w:hAnsi="宋体" w:eastAsia="宋体" w:cs="宋体"/>
          <w:b/>
          <w:bCs/>
          <w:i w:val="0"/>
          <w:iCs w:val="0"/>
          <w:caps w:val="0"/>
          <w:color w:val="383838"/>
          <w:spacing w:val="0"/>
          <w:sz w:val="21"/>
          <w:szCs w:val="21"/>
          <w:shd w:val="clear" w:fill="FFFFFF"/>
        </w:rPr>
        <w:t>响应文件提交</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提交文件：按采购文件 要求提供</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截止时间：202</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年</w:t>
      </w:r>
      <w:r>
        <w:rPr>
          <w:rFonts w:hint="eastAsia" w:ascii="宋体" w:hAnsi="宋体" w:eastAsia="宋体" w:cs="宋体"/>
          <w:i w:val="0"/>
          <w:iCs w:val="0"/>
          <w:caps w:val="0"/>
          <w:color w:val="383838"/>
          <w:spacing w:val="0"/>
          <w:sz w:val="21"/>
          <w:szCs w:val="21"/>
          <w:shd w:val="clear" w:fill="FFFFFF"/>
          <w:lang w:val="en-US" w:eastAsia="zh-CN"/>
        </w:rPr>
        <w:t>06</w:t>
      </w:r>
      <w:r>
        <w:rPr>
          <w:rFonts w:hint="eastAsia" w:ascii="宋体" w:hAnsi="宋体" w:eastAsia="宋体" w:cs="宋体"/>
          <w:i w:val="0"/>
          <w:iCs w:val="0"/>
          <w:caps w:val="0"/>
          <w:color w:val="383838"/>
          <w:spacing w:val="0"/>
          <w:sz w:val="21"/>
          <w:szCs w:val="21"/>
          <w:shd w:val="clear" w:fill="FFFFFF"/>
        </w:rPr>
        <w:t>月</w:t>
      </w:r>
      <w:r>
        <w:rPr>
          <w:rFonts w:hint="eastAsia" w:ascii="宋体" w:hAnsi="宋体" w:eastAsia="宋体" w:cs="宋体"/>
          <w:i w:val="0"/>
          <w:iCs w:val="0"/>
          <w:caps w:val="0"/>
          <w:color w:val="383838"/>
          <w:spacing w:val="0"/>
          <w:sz w:val="21"/>
          <w:szCs w:val="21"/>
          <w:shd w:val="clear" w:fill="FFFFFF"/>
          <w:lang w:val="en-US" w:eastAsia="zh-CN"/>
        </w:rPr>
        <w:t>01</w:t>
      </w:r>
      <w:r>
        <w:rPr>
          <w:rFonts w:hint="eastAsia" w:ascii="宋体" w:hAnsi="宋体" w:eastAsia="宋体" w:cs="宋体"/>
          <w:i w:val="0"/>
          <w:iCs w:val="0"/>
          <w:caps w:val="0"/>
          <w:color w:val="383838"/>
          <w:spacing w:val="0"/>
          <w:sz w:val="21"/>
          <w:szCs w:val="21"/>
          <w:shd w:val="clear" w:fill="FFFFFF"/>
        </w:rPr>
        <w:t>日</w:t>
      </w:r>
      <w:r>
        <w:rPr>
          <w:rFonts w:hint="eastAsia" w:ascii="宋体" w:hAnsi="宋体" w:eastAsia="宋体" w:cs="宋体"/>
          <w:i w:val="0"/>
          <w:iCs w:val="0"/>
          <w:caps w:val="0"/>
          <w:color w:val="383838"/>
          <w:spacing w:val="0"/>
          <w:sz w:val="21"/>
          <w:szCs w:val="21"/>
          <w:shd w:val="clear" w:fill="FFFFFF"/>
          <w:lang w:val="en-US" w:eastAsia="zh-CN"/>
        </w:rPr>
        <w:t>14</w:t>
      </w:r>
      <w:r>
        <w:rPr>
          <w:rFonts w:hint="eastAsia" w:ascii="宋体" w:hAnsi="宋体" w:eastAsia="宋体" w:cs="宋体"/>
          <w:i w:val="0"/>
          <w:iCs w:val="0"/>
          <w:caps w:val="0"/>
          <w:color w:val="383838"/>
          <w:spacing w:val="0"/>
          <w:sz w:val="21"/>
          <w:szCs w:val="21"/>
          <w:shd w:val="clear" w:fill="FFFFFF"/>
        </w:rPr>
        <w:t>点</w:t>
      </w:r>
      <w:r>
        <w:rPr>
          <w:rFonts w:hint="eastAsia" w:ascii="宋体" w:hAnsi="宋体" w:eastAsia="宋体" w:cs="宋体"/>
          <w:i w:val="0"/>
          <w:iCs w:val="0"/>
          <w:caps w:val="0"/>
          <w:color w:val="383838"/>
          <w:spacing w:val="0"/>
          <w:sz w:val="21"/>
          <w:szCs w:val="21"/>
          <w:shd w:val="clear" w:fill="FFFFFF"/>
          <w:lang w:val="en-US" w:eastAsia="zh-CN"/>
        </w:rPr>
        <w:t>0</w:t>
      </w:r>
      <w:r>
        <w:rPr>
          <w:rFonts w:hint="eastAsia" w:ascii="宋体" w:hAnsi="宋体" w:eastAsia="宋体" w:cs="宋体"/>
          <w:i w:val="0"/>
          <w:iCs w:val="0"/>
          <w:caps w:val="0"/>
          <w:color w:val="383838"/>
          <w:spacing w:val="0"/>
          <w:sz w:val="21"/>
          <w:szCs w:val="21"/>
          <w:shd w:val="clear" w:fill="FFFFFF"/>
        </w:rPr>
        <w:t>0分（北京时间）</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地点：</w:t>
      </w:r>
      <w:r>
        <w:rPr>
          <w:rFonts w:hint="eastAsia" w:ascii="宋体" w:hAnsi="宋体" w:eastAsia="宋体" w:cs="宋体"/>
          <w:i w:val="0"/>
          <w:iCs w:val="0"/>
          <w:caps w:val="0"/>
          <w:color w:val="383838"/>
          <w:spacing w:val="0"/>
          <w:sz w:val="21"/>
          <w:szCs w:val="21"/>
          <w:shd w:val="clear" w:fill="FFFFFF"/>
        </w:rPr>
        <w:t>广西钦州保税港区</w:t>
      </w:r>
      <w:r>
        <w:rPr>
          <w:rFonts w:hint="eastAsia" w:ascii="宋体" w:hAnsi="宋体" w:eastAsia="宋体" w:cs="宋体"/>
          <w:i w:val="0"/>
          <w:iCs w:val="0"/>
          <w:caps w:val="0"/>
          <w:color w:val="383838"/>
          <w:spacing w:val="0"/>
          <w:sz w:val="21"/>
          <w:szCs w:val="21"/>
          <w:shd w:val="clear" w:fill="FFFFFF"/>
          <w:lang w:val="en-US" w:eastAsia="zh-CN"/>
        </w:rPr>
        <w:t>自贸大厦23</w:t>
      </w:r>
      <w:r>
        <w:rPr>
          <w:rFonts w:hint="eastAsia" w:ascii="宋体" w:hAnsi="宋体" w:eastAsia="宋体" w:cs="宋体"/>
          <w:i w:val="0"/>
          <w:iCs w:val="0"/>
          <w:caps w:val="0"/>
          <w:color w:val="383838"/>
          <w:spacing w:val="0"/>
          <w:sz w:val="21"/>
          <w:szCs w:val="21"/>
          <w:shd w:val="clear" w:fill="FFFFFF"/>
        </w:rPr>
        <w:t>楼</w:t>
      </w:r>
      <w:r>
        <w:rPr>
          <w:rFonts w:hint="eastAsia" w:ascii="宋体" w:hAnsi="宋体" w:eastAsia="宋体" w:cs="宋体"/>
          <w:i w:val="0"/>
          <w:iCs w:val="0"/>
          <w:caps w:val="0"/>
          <w:color w:val="383838"/>
          <w:spacing w:val="0"/>
          <w:sz w:val="21"/>
          <w:szCs w:val="21"/>
          <w:shd w:val="clear" w:fill="FFFFFF"/>
          <w:lang w:val="en-US" w:eastAsia="zh-CN"/>
        </w:rPr>
        <w:t>风控审计部</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接收人：黄全炳   联系电话：07775881380</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383838"/>
          <w:spacing w:val="0"/>
          <w:sz w:val="21"/>
          <w:szCs w:val="21"/>
          <w:shd w:val="clear" w:fill="FFFFFF"/>
        </w:rPr>
      </w:pPr>
      <w:r>
        <w:rPr>
          <w:rFonts w:hint="eastAsia" w:ascii="宋体" w:hAnsi="宋体" w:eastAsia="宋体" w:cs="宋体"/>
          <w:b/>
          <w:bCs/>
          <w:i w:val="0"/>
          <w:iCs w:val="0"/>
          <w:caps w:val="0"/>
          <w:color w:val="383838"/>
          <w:spacing w:val="0"/>
          <w:sz w:val="21"/>
          <w:szCs w:val="21"/>
          <w:shd w:val="clear" w:fill="FFFFFF"/>
          <w:lang w:val="en-US" w:eastAsia="zh-CN"/>
        </w:rPr>
        <w:t>四</w:t>
      </w:r>
      <w:r>
        <w:rPr>
          <w:rFonts w:hint="eastAsia" w:ascii="宋体" w:hAnsi="宋体" w:eastAsia="宋体" w:cs="宋体"/>
          <w:b/>
          <w:bCs/>
          <w:i w:val="0"/>
          <w:iCs w:val="0"/>
          <w:caps w:val="0"/>
          <w:color w:val="383838"/>
          <w:spacing w:val="0"/>
          <w:sz w:val="21"/>
          <w:szCs w:val="21"/>
          <w:shd w:val="clear" w:fill="FFFFFF"/>
        </w:rPr>
        <w:t>、开启</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时间：202</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年</w:t>
      </w:r>
      <w:r>
        <w:rPr>
          <w:rFonts w:hint="eastAsia" w:ascii="宋体" w:hAnsi="宋体" w:eastAsia="宋体" w:cs="宋体"/>
          <w:i w:val="0"/>
          <w:iCs w:val="0"/>
          <w:caps w:val="0"/>
          <w:color w:val="383838"/>
          <w:spacing w:val="0"/>
          <w:sz w:val="21"/>
          <w:szCs w:val="21"/>
          <w:shd w:val="clear" w:fill="FFFFFF"/>
          <w:lang w:val="en-US" w:eastAsia="zh-CN"/>
        </w:rPr>
        <w:t>06</w:t>
      </w:r>
      <w:r>
        <w:rPr>
          <w:rFonts w:hint="eastAsia" w:ascii="宋体" w:hAnsi="宋体" w:eastAsia="宋体" w:cs="宋体"/>
          <w:i w:val="0"/>
          <w:iCs w:val="0"/>
          <w:caps w:val="0"/>
          <w:color w:val="383838"/>
          <w:spacing w:val="0"/>
          <w:sz w:val="21"/>
          <w:szCs w:val="21"/>
          <w:shd w:val="clear" w:fill="FFFFFF"/>
        </w:rPr>
        <w:t>月</w:t>
      </w:r>
      <w:r>
        <w:rPr>
          <w:rFonts w:hint="eastAsia" w:ascii="宋体" w:hAnsi="宋体" w:eastAsia="宋体" w:cs="宋体"/>
          <w:i w:val="0"/>
          <w:iCs w:val="0"/>
          <w:caps w:val="0"/>
          <w:color w:val="383838"/>
          <w:spacing w:val="0"/>
          <w:sz w:val="21"/>
          <w:szCs w:val="21"/>
          <w:shd w:val="clear" w:fill="FFFFFF"/>
          <w:lang w:val="en-US" w:eastAsia="zh-CN"/>
        </w:rPr>
        <w:t>01</w:t>
      </w:r>
      <w:r>
        <w:rPr>
          <w:rFonts w:hint="eastAsia" w:ascii="宋体" w:hAnsi="宋体" w:eastAsia="宋体" w:cs="宋体"/>
          <w:i w:val="0"/>
          <w:iCs w:val="0"/>
          <w:caps w:val="0"/>
          <w:color w:val="383838"/>
          <w:spacing w:val="0"/>
          <w:sz w:val="21"/>
          <w:szCs w:val="21"/>
          <w:shd w:val="clear" w:fill="FFFFFF"/>
        </w:rPr>
        <w:t>日</w:t>
      </w:r>
      <w:r>
        <w:rPr>
          <w:rFonts w:hint="eastAsia" w:ascii="宋体" w:hAnsi="宋体" w:eastAsia="宋体" w:cs="宋体"/>
          <w:i w:val="0"/>
          <w:iCs w:val="0"/>
          <w:caps w:val="0"/>
          <w:color w:val="383838"/>
          <w:spacing w:val="0"/>
          <w:sz w:val="21"/>
          <w:szCs w:val="21"/>
          <w:shd w:val="clear" w:fill="FFFFFF"/>
          <w:lang w:val="en-US" w:eastAsia="zh-CN"/>
        </w:rPr>
        <w:t>14</w:t>
      </w:r>
      <w:r>
        <w:rPr>
          <w:rFonts w:hint="eastAsia" w:ascii="宋体" w:hAnsi="宋体" w:eastAsia="宋体" w:cs="宋体"/>
          <w:i w:val="0"/>
          <w:iCs w:val="0"/>
          <w:caps w:val="0"/>
          <w:color w:val="383838"/>
          <w:spacing w:val="0"/>
          <w:sz w:val="21"/>
          <w:szCs w:val="21"/>
          <w:shd w:val="clear" w:fill="FFFFFF"/>
        </w:rPr>
        <w:t>点</w:t>
      </w:r>
      <w:r>
        <w:rPr>
          <w:rFonts w:hint="eastAsia" w:ascii="宋体" w:hAnsi="宋体" w:eastAsia="宋体" w:cs="宋体"/>
          <w:i w:val="0"/>
          <w:iCs w:val="0"/>
          <w:caps w:val="0"/>
          <w:color w:val="383838"/>
          <w:spacing w:val="0"/>
          <w:sz w:val="21"/>
          <w:szCs w:val="21"/>
          <w:shd w:val="clear" w:fill="FFFFFF"/>
          <w:lang w:val="en-US" w:eastAsia="zh-CN"/>
        </w:rPr>
        <w:t>0</w:t>
      </w:r>
      <w:r>
        <w:rPr>
          <w:rFonts w:hint="eastAsia" w:ascii="宋体" w:hAnsi="宋体" w:eastAsia="宋体" w:cs="宋体"/>
          <w:i w:val="0"/>
          <w:iCs w:val="0"/>
          <w:caps w:val="0"/>
          <w:color w:val="383838"/>
          <w:spacing w:val="0"/>
          <w:sz w:val="21"/>
          <w:szCs w:val="21"/>
          <w:shd w:val="clear" w:fill="FFFFFF"/>
        </w:rPr>
        <w:t>0分（北京时间）</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地点：广西钦州保税港区</w:t>
      </w:r>
      <w:r>
        <w:rPr>
          <w:rFonts w:hint="eastAsia" w:ascii="宋体" w:hAnsi="宋体" w:eastAsia="宋体" w:cs="宋体"/>
          <w:i w:val="0"/>
          <w:iCs w:val="0"/>
          <w:caps w:val="0"/>
          <w:color w:val="383838"/>
          <w:spacing w:val="0"/>
          <w:sz w:val="21"/>
          <w:szCs w:val="21"/>
          <w:shd w:val="clear" w:fill="FFFFFF"/>
          <w:lang w:val="en-US" w:eastAsia="zh-CN"/>
        </w:rPr>
        <w:t>自贸大厦23</w:t>
      </w:r>
      <w:r>
        <w:rPr>
          <w:rFonts w:hint="eastAsia" w:ascii="宋体" w:hAnsi="宋体" w:eastAsia="宋体" w:cs="宋体"/>
          <w:i w:val="0"/>
          <w:iCs w:val="0"/>
          <w:caps w:val="0"/>
          <w:color w:val="383838"/>
          <w:spacing w:val="0"/>
          <w:sz w:val="21"/>
          <w:szCs w:val="21"/>
          <w:shd w:val="clear" w:fill="FFFFFF"/>
        </w:rPr>
        <w:t>楼</w:t>
      </w:r>
      <w:r>
        <w:rPr>
          <w:rFonts w:hint="eastAsia" w:ascii="宋体" w:hAnsi="宋体" w:eastAsia="宋体" w:cs="宋体"/>
          <w:i w:val="0"/>
          <w:iCs w:val="0"/>
          <w:caps w:val="0"/>
          <w:color w:val="383838"/>
          <w:spacing w:val="0"/>
          <w:sz w:val="21"/>
          <w:szCs w:val="21"/>
          <w:shd w:val="clear" w:fill="FFFFFF"/>
          <w:lang w:val="en-US" w:eastAsia="zh-CN"/>
        </w:rPr>
        <w:t>会议室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383838"/>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ascii="宋体" w:hAnsi="宋体" w:eastAsia="宋体" w:cs="宋体"/>
          <w:b/>
          <w:bCs/>
          <w:i w:val="0"/>
          <w:iCs w:val="0"/>
          <w:caps w:val="0"/>
          <w:color w:val="383838"/>
          <w:spacing w:val="0"/>
          <w:sz w:val="21"/>
          <w:szCs w:val="21"/>
          <w:shd w:val="clear" w:fill="FFFFFF"/>
          <w:lang w:val="en-US" w:eastAsia="zh-CN"/>
        </w:rPr>
        <w:t>五、定标方式：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仿宋" w:hAnsi="仿宋" w:eastAsia="仿宋" w:cs="仿宋"/>
          <w:i w:val="0"/>
          <w:iCs w:val="0"/>
          <w:caps w:val="0"/>
          <w:color w:val="000000"/>
          <w:spacing w:val="0"/>
          <w:sz w:val="28"/>
          <w:szCs w:val="28"/>
          <w:u w:val="none"/>
          <w:shd w:val="clear" w:fill="FFFFFF"/>
          <w:vertAlign w:val="baseline"/>
        </w:rPr>
        <w:t>综合评估法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bidi w:val="0"/>
        <w:jc w:val="center"/>
        <w:rPr>
          <w:rFonts w:hint="eastAsia"/>
          <w:b/>
          <w:bCs/>
          <w:sz w:val="24"/>
          <w:szCs w:val="24"/>
          <w:lang w:val="en-US" w:eastAsia="zh-CN"/>
        </w:rPr>
      </w:pPr>
      <w:r>
        <w:rPr>
          <w:rFonts w:hint="eastAsia"/>
          <w:b/>
          <w:bCs/>
          <w:sz w:val="24"/>
          <w:szCs w:val="24"/>
          <w:lang w:val="en-US" w:eastAsia="zh-CN"/>
        </w:rPr>
        <w:t>评分标准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8"/>
        <w:gridCol w:w="676"/>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811" w:type="dxa"/>
            <w:noWrap w:val="0"/>
            <w:vAlign w:val="center"/>
          </w:tcPr>
          <w:p>
            <w:pPr>
              <w:keepNext w:val="0"/>
              <w:keepLines w:val="0"/>
              <w:pageBreakBefore w:val="0"/>
              <w:kinsoku/>
              <w:wordWrap/>
              <w:overflowPunct/>
              <w:topLinePunct w:val="0"/>
              <w:autoSpaceDE/>
              <w:autoSpaceDN/>
              <w:bidi w:val="0"/>
              <w:adjustRightInd/>
              <w:snapToGrid/>
              <w:spacing w:before="95" w:beforeLines="30" w:line="240" w:lineRule="auto"/>
              <w:ind w:right="0" w:rightChars="0"/>
              <w:jc w:val="both"/>
              <w:textAlignment w:val="auto"/>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类别</w:t>
            </w: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评分项目</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标准分值</w:t>
            </w:r>
          </w:p>
        </w:tc>
        <w:tc>
          <w:tcPr>
            <w:tcW w:w="6247" w:type="dxa"/>
            <w:noWrap w:val="0"/>
            <w:vAlign w:val="center"/>
          </w:tcPr>
          <w:p>
            <w:pPr>
              <w:keepNext w:val="0"/>
              <w:keepLines w:val="0"/>
              <w:pageBreakBefore w:val="0"/>
              <w:kinsoku/>
              <w:wordWrap/>
              <w:overflowPunct/>
              <w:topLinePunct w:val="0"/>
              <w:autoSpaceDE/>
              <w:autoSpaceDN/>
              <w:bidi w:val="0"/>
              <w:adjustRightInd/>
              <w:snapToGrid/>
              <w:spacing w:before="0" w:line="240" w:lineRule="auto"/>
              <w:ind w:firstLine="2205" w:firstLineChars="10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(30分）</w:t>
            </w:r>
          </w:p>
        </w:tc>
        <w:tc>
          <w:tcPr>
            <w:tcW w:w="788"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报价</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部分</w:t>
            </w:r>
          </w:p>
        </w:tc>
        <w:tc>
          <w:tcPr>
            <w:tcW w:w="676"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低价优先法计算，即满足招标文件要求且投标价格低的投标报价为评标基准价，其价格分为满分。其他投标供应商的价格分按照下列公式计算（小数点保留二位）：投标报价得分=(评标基准价／投标报价)×30。</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vMerge w:val="restart"/>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部分</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分）</w:t>
            </w:r>
          </w:p>
        </w:tc>
        <w:tc>
          <w:tcPr>
            <w:tcW w:w="788"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实力</w:t>
            </w:r>
          </w:p>
        </w:tc>
        <w:tc>
          <w:tcPr>
            <w:tcW w:w="676"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6247" w:type="dxa"/>
            <w:noWrap w:val="0"/>
            <w:tcMar>
              <w:top w:w="85" w:type="dxa"/>
              <w:left w:w="85" w:type="dxa"/>
              <w:bottom w:w="85" w:type="dxa"/>
              <w:right w:w="85" w:type="dxa"/>
            </w:tcMar>
            <w:vAlign w:val="top"/>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投标人获得行政主管部门颁发的：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①政府质量奖；</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②专精特新“小巨人”；</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③智能制造标杆企业；</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④省级管理创新示范企业。</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以上每提供一项得2分，总分8分，不提供不得分。</w:t>
            </w:r>
          </w:p>
          <w:p>
            <w:pPr>
              <w:keepNext w:val="0"/>
              <w:keepLines w:val="0"/>
              <w:pageBreakBefore w:val="0"/>
              <w:kinsoku/>
              <w:wordWrap/>
              <w:overflowPunct/>
              <w:topLinePunct w:val="0"/>
              <w:bidi w:val="0"/>
              <w:spacing w:before="0" w:line="240" w:lineRule="auto"/>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评审依据：提供证明文件或政府机构网上公示证明复印件加盖公章。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相关</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认证</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7</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adjustRightInd/>
              <w:snapToGrid/>
              <w:spacing w:before="0" w:line="240" w:lineRule="auto"/>
              <w:ind w:left="0" w:leftChars="0" w:right="0" w:righ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投标人提供有效期内：</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环境管理体系认证证书；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供应商综合实力评价体系认证证书；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商业信誉评价体系认证证书；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合规管理体系认证证书；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中国绿色产品认证证书。</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以上每提供一项得1分，总分7分，不提供不得分。（以上认证范围均需包含“</w:t>
            </w:r>
            <w:r>
              <w:rPr>
                <w:rFonts w:hint="eastAsia" w:cs="宋体"/>
                <w:b w:val="0"/>
                <w:bCs w:val="0"/>
                <w:color w:val="auto"/>
                <w:sz w:val="21"/>
                <w:szCs w:val="21"/>
                <w:highlight w:val="none"/>
                <w:lang w:val="en-US" w:eastAsia="zh-CN"/>
              </w:rPr>
              <w:t>密集架</w:t>
            </w:r>
            <w:r>
              <w:rPr>
                <w:rFonts w:hint="eastAsia" w:ascii="宋体" w:hAnsi="宋体" w:eastAsia="宋体" w:cs="宋体"/>
                <w:b w:val="0"/>
                <w:bCs w:val="0"/>
                <w:color w:val="auto"/>
                <w:sz w:val="21"/>
                <w:szCs w:val="21"/>
                <w:highlight w:val="none"/>
                <w:lang w:val="en-US" w:eastAsia="zh-CN"/>
              </w:rPr>
              <w:t>”产品）</w:t>
            </w:r>
          </w:p>
          <w:p>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评审依据：提供认证证书复印件加盖公章及上述证书在全国认证认可信息公共服务平台官网上的网页截图，未提供的不得分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业绩</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9</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投标人提供广西沿海地区同类项目业绩，每提供一份业绩</w:t>
            </w: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分，总分</w:t>
            </w:r>
            <w:r>
              <w:rPr>
                <w:rFonts w:hint="eastAsia"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restart"/>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46</w:t>
            </w:r>
            <w:r>
              <w:rPr>
                <w:rFonts w:hint="eastAsia" w:ascii="宋体" w:hAnsi="宋体" w:eastAsia="宋体" w:cs="宋体"/>
                <w:color w:val="auto"/>
                <w:sz w:val="21"/>
                <w:szCs w:val="21"/>
                <w:highlight w:val="none"/>
                <w:lang w:val="en-US" w:eastAsia="zh-CN"/>
              </w:rPr>
              <w:t>分）</w:t>
            </w:r>
          </w:p>
        </w:tc>
        <w:tc>
          <w:tcPr>
            <w:tcW w:w="788" w:type="dxa"/>
            <w:noWrap w:val="0"/>
            <w:vAlign w:val="center"/>
          </w:tcPr>
          <w:p>
            <w:pPr>
              <w:pStyle w:val="16"/>
              <w:keepNext w:val="0"/>
              <w:keepLines w:val="0"/>
              <w:pageBreakBefore w:val="0"/>
              <w:kinsoku/>
              <w:wordWrap/>
              <w:overflowPunct/>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pStyle w:val="16"/>
              <w:keepNext w:val="0"/>
              <w:keepLines w:val="0"/>
              <w:pageBreakBefore w:val="0"/>
              <w:kinsoku/>
              <w:wordWrap/>
              <w:overflowPunct/>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响应</w:t>
            </w:r>
          </w:p>
        </w:tc>
        <w:tc>
          <w:tcPr>
            <w:tcW w:w="676" w:type="dxa"/>
            <w:noWrap w:val="0"/>
            <w:vAlign w:val="center"/>
          </w:tcPr>
          <w:p>
            <w:pPr>
              <w:pStyle w:val="16"/>
              <w:keepNext w:val="0"/>
              <w:keepLines w:val="0"/>
              <w:pageBreakBefore w:val="0"/>
              <w:kinsoku/>
              <w:wordWrap/>
              <w:overflowPunct/>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各投标人投标货物对招标文件用材规格、功能要求的响应程度。完全满足技术条款的得4分；有一项负偏离扣0.5分，扣完为止。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评审依据：提供技术参数偏离表。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产品环保</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产品甲醛释放量≤0.01mg/m3。满足此指标加2分，否则不得分。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产品载重</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①搁板静载荷：搁板上均布静载荷1000N，放置24h，最大挠度≤2.0mm，卸载后2h，残余变形量≤0.08mm。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②全静载荷：在每层搁板上加载80kg均布静载荷，经24h连续试验后检查挂板、搁板、立柱及其结合部位和架体无塑性变形和其他异常现象。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③载重运行：在全静载荷的情况下进行运行试验，架体应运动自如，不得有阻滞现象。手柄摇力应不大于6.0N。</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同时满足以上①-③项指标加2分，否则不得分。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产品安装</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①每标准节组合后外型尺寸（宽、深、高）的极限偏差为±1mm。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②标准架组装后，侧面板与中腰板的对缝处的间隙≤1mm。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③门缝间隙在工装保障的前提下均匀一致≤1mm。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④立柱与底梁的垂直度应不大于2mm。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⑤架列侧面相邻的位差度应不大于5mm。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⑥导轨安装后，单根导轨的直线度不大于1.0mm/m。相邻两根导轨 宽度之间的平行度偏差不大于1mm/m、水平高度偏差应不大于0.2mm。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同时满足以上①-⑥项指标加2分，否则不得分。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零部件品质</w:t>
            </w:r>
          </w:p>
        </w:tc>
        <w:tc>
          <w:tcPr>
            <w:tcW w:w="676" w:type="dxa"/>
            <w:noWrap w:val="0"/>
            <w:vAlign w:val="center"/>
          </w:tcPr>
          <w:p>
            <w:pPr>
              <w:pStyle w:val="17"/>
              <w:spacing w:before="10"/>
              <w:jc w:val="center"/>
              <w:rPr>
                <w:rFonts w:hint="eastAsia" w:ascii="宋体" w:hAnsi="宋体" w:eastAsia="宋体" w:cs="宋体"/>
                <w:dstrike w:val="0"/>
                <w:color w:val="auto"/>
                <w:sz w:val="21"/>
                <w:szCs w:val="21"/>
                <w:highlight w:val="none"/>
              </w:rPr>
            </w:pPr>
          </w:p>
          <w:p>
            <w:pPr>
              <w:pStyle w:val="17"/>
              <w:spacing w:line="252" w:lineRule="exact"/>
              <w:ind w:left="5" w:leftChars="0" w:right="0" w:rightChars="0"/>
              <w:jc w:val="center"/>
              <w:rPr>
                <w:rFonts w:hint="default" w:ascii="宋体" w:hAnsi="宋体" w:eastAsia="宋体" w:cs="宋体"/>
                <w:dstrike w:val="0"/>
                <w:color w:val="auto"/>
                <w:sz w:val="21"/>
                <w:szCs w:val="21"/>
                <w:highlight w:val="none"/>
                <w:lang w:val="en-US" w:eastAsia="zh-CN" w:bidi="zh-CN"/>
              </w:rPr>
            </w:pPr>
            <w:r>
              <w:rPr>
                <w:rFonts w:hint="eastAsia" w:cs="宋体"/>
                <w:b w:val="0"/>
                <w:bCs w:val="0"/>
                <w:dstrike w:val="0"/>
                <w:color w:val="auto"/>
                <w:spacing w:val="-12"/>
                <w:sz w:val="21"/>
                <w:szCs w:val="21"/>
                <w:highlight w:val="none"/>
                <w:lang w:val="en-US" w:eastAsia="zh-CN"/>
              </w:rPr>
              <w:t>10</w:t>
            </w:r>
          </w:p>
        </w:tc>
        <w:tc>
          <w:tcPr>
            <w:tcW w:w="6247" w:type="dxa"/>
            <w:noWrap w:val="0"/>
            <w:tcMar>
              <w:top w:w="85" w:type="dxa"/>
              <w:left w:w="85" w:type="dxa"/>
              <w:bottom w:w="85" w:type="dxa"/>
              <w:right w:w="85" w:type="dxa"/>
            </w:tcMar>
            <w:vAlign w:val="top"/>
          </w:tcPr>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20" w:firstLineChars="200"/>
              <w:textAlignment w:val="auto"/>
              <w:rPr>
                <w:rFonts w:hint="eastAsia" w:ascii="宋体" w:hAnsi="宋体" w:eastAsia="宋体" w:cs="宋体"/>
                <w:dstrike w:val="0"/>
                <w:color w:val="auto"/>
                <w:spacing w:val="-3"/>
                <w:sz w:val="21"/>
                <w:szCs w:val="21"/>
                <w:highlight w:val="none"/>
                <w:lang w:eastAsia="zh-CN"/>
              </w:rPr>
            </w:pPr>
            <w:r>
              <w:rPr>
                <w:rFonts w:hint="eastAsia" w:ascii="宋体" w:hAnsi="宋体" w:eastAsia="宋体" w:cs="宋体"/>
                <w:dstrike w:val="0"/>
                <w:color w:val="auto"/>
                <w:sz w:val="21"/>
                <w:szCs w:val="21"/>
                <w:highlight w:val="none"/>
              </w:rPr>
              <w:t>底盘</w:t>
            </w: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立柱、搁板、挂板、侧面板、顶板</w:t>
            </w:r>
            <w:r>
              <w:rPr>
                <w:rFonts w:hint="eastAsia" w:ascii="宋体" w:hAnsi="宋体" w:eastAsia="宋体" w:cs="宋体"/>
                <w:dstrike w:val="0"/>
                <w:color w:val="auto"/>
                <w:sz w:val="21"/>
                <w:szCs w:val="21"/>
                <w:highlight w:val="none"/>
              </w:rPr>
              <w:t>各项技术指标依据（包括但不限于）GB/T3325-2017《金属家具通</w:t>
            </w:r>
            <w:r>
              <w:rPr>
                <w:rFonts w:hint="eastAsia" w:ascii="宋体" w:hAnsi="宋体" w:eastAsia="宋体" w:cs="宋体"/>
                <w:dstrike w:val="0"/>
                <w:color w:val="auto"/>
                <w:spacing w:val="-12"/>
                <w:sz w:val="21"/>
                <w:szCs w:val="21"/>
                <w:highlight w:val="none"/>
              </w:rPr>
              <w:t>用技术条件》、</w:t>
            </w:r>
            <w:r>
              <w:rPr>
                <w:rFonts w:hint="eastAsia" w:ascii="宋体" w:hAnsi="宋体" w:eastAsia="宋体" w:cs="宋体"/>
                <w:dstrike w:val="0"/>
                <w:color w:val="auto"/>
                <w:spacing w:val="-3"/>
                <w:sz w:val="21"/>
                <w:szCs w:val="21"/>
                <w:highlight w:val="none"/>
              </w:rPr>
              <w:t>GB/T35607-2017</w:t>
            </w:r>
            <w:r>
              <w:rPr>
                <w:rFonts w:hint="eastAsia" w:ascii="宋体" w:hAnsi="宋体" w:eastAsia="宋体" w:cs="宋体"/>
                <w:dstrike w:val="0"/>
                <w:color w:val="auto"/>
                <w:spacing w:val="-8"/>
                <w:sz w:val="21"/>
                <w:szCs w:val="21"/>
                <w:highlight w:val="none"/>
              </w:rPr>
              <w:t>《绿色产品评价家具》、</w:t>
            </w:r>
            <w:r>
              <w:rPr>
                <w:rFonts w:hint="eastAsia" w:ascii="宋体" w:hAnsi="宋体" w:eastAsia="宋体" w:cs="宋体"/>
                <w:dstrike w:val="0"/>
                <w:color w:val="auto"/>
                <w:sz w:val="21"/>
                <w:szCs w:val="21"/>
                <w:highlight w:val="none"/>
              </w:rPr>
              <w:t>GB/T</w:t>
            </w:r>
            <w:r>
              <w:rPr>
                <w:rFonts w:hint="eastAsia" w:ascii="宋体" w:hAnsi="宋体" w:eastAsia="宋体" w:cs="宋体"/>
                <w:dstrike w:val="0"/>
                <w:color w:val="auto"/>
                <w:spacing w:val="-60"/>
                <w:sz w:val="21"/>
                <w:szCs w:val="21"/>
                <w:highlight w:val="none"/>
              </w:rPr>
              <w:t xml:space="preserve"> </w:t>
            </w:r>
            <w:r>
              <w:rPr>
                <w:rFonts w:hint="eastAsia" w:ascii="宋体" w:hAnsi="宋体" w:eastAsia="宋体" w:cs="宋体"/>
                <w:dstrike w:val="0"/>
                <w:color w:val="auto"/>
                <w:sz w:val="21"/>
                <w:szCs w:val="21"/>
                <w:highlight w:val="none"/>
              </w:rPr>
              <w:t>700-2006《碳素结构钢》、QB/T3832-1999《轻工产品金属镀层腐蚀试验结果的评价》、QB/T3827-1999《</w:t>
            </w:r>
            <w:r>
              <w:rPr>
                <w:rFonts w:hint="eastAsia" w:ascii="宋体" w:hAnsi="宋体" w:eastAsia="宋体" w:cs="宋体"/>
                <w:dstrike w:val="0"/>
                <w:color w:val="auto"/>
                <w:spacing w:val="-8"/>
                <w:sz w:val="21"/>
                <w:szCs w:val="21"/>
                <w:highlight w:val="none"/>
              </w:rPr>
              <w:t>轻工产品金属镀层和化学处理层的耐腐蚀试验方法 乙酸盐雾试验</w:t>
            </w:r>
            <w:r>
              <w:rPr>
                <w:rFonts w:hint="eastAsia" w:ascii="宋体" w:hAnsi="宋体" w:eastAsia="宋体" w:cs="宋体"/>
                <w:dstrike w:val="0"/>
                <w:color w:val="auto"/>
                <w:spacing w:val="-8"/>
                <w:sz w:val="21"/>
                <w:szCs w:val="21"/>
                <w:highlight w:val="none"/>
                <w:lang w:eastAsia="zh-CN"/>
              </w:rPr>
              <w:t>（ASS）法</w:t>
            </w:r>
            <w:r>
              <w:rPr>
                <w:rFonts w:hint="eastAsia" w:ascii="宋体" w:hAnsi="宋体" w:eastAsia="宋体" w:cs="宋体"/>
                <w:dstrike w:val="0"/>
                <w:color w:val="auto"/>
                <w:spacing w:val="-3"/>
                <w:sz w:val="21"/>
                <w:szCs w:val="21"/>
                <w:highlight w:val="none"/>
              </w:rPr>
              <w:t>》标准要求</w:t>
            </w:r>
            <w:r>
              <w:rPr>
                <w:rFonts w:hint="eastAsia" w:ascii="宋体" w:hAnsi="宋体" w:eastAsia="宋体" w:cs="宋体"/>
                <w:dstrike w:val="0"/>
                <w:color w:val="auto"/>
                <w:spacing w:val="-3"/>
                <w:sz w:val="21"/>
                <w:szCs w:val="21"/>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①</w:t>
            </w:r>
            <w:r>
              <w:rPr>
                <w:rFonts w:hint="eastAsia" w:ascii="宋体" w:hAnsi="宋体" w:eastAsia="宋体" w:cs="宋体"/>
                <w:color w:val="auto"/>
                <w:sz w:val="21"/>
                <w:szCs w:val="21"/>
                <w:highlight w:val="none"/>
                <w:lang w:val="en-US" w:eastAsia="zh-CN"/>
              </w:rPr>
              <w:t>化学成分:碳C，%≤0.05%、硅Si，%≤0.005%、锰Mn，%≤0.23%、磷P，%≤0.012%、硫S，%≤0.003%；</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②</w:t>
            </w:r>
            <w:r>
              <w:rPr>
                <w:rFonts w:hint="eastAsia" w:ascii="宋体" w:hAnsi="宋体" w:eastAsia="宋体" w:cs="宋体"/>
                <w:color w:val="auto"/>
                <w:sz w:val="21"/>
                <w:szCs w:val="21"/>
                <w:highlight w:val="none"/>
                <w:lang w:val="en-US" w:eastAsia="zh-CN"/>
              </w:rPr>
              <w:t>力学性能：屈服强度≥250N/mm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 xml:space="preserve"> 、断后伸长率≥50%；</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③</w:t>
            </w:r>
            <w:r>
              <w:rPr>
                <w:rFonts w:hint="eastAsia" w:ascii="宋体" w:hAnsi="宋体" w:eastAsia="宋体" w:cs="宋体"/>
                <w:color w:val="auto"/>
                <w:sz w:val="21"/>
                <w:szCs w:val="21"/>
                <w:highlight w:val="none"/>
                <w:lang w:val="en-US" w:eastAsia="zh-CN"/>
              </w:rPr>
              <w:t>金属喷漆（塑）涂层理化性能要求：硬度≥4H、附着力0级、耐腐蚀性能≧</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00h；</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④</w:t>
            </w:r>
            <w:r>
              <w:rPr>
                <w:rFonts w:hint="eastAsia" w:ascii="宋体" w:hAnsi="宋体" w:eastAsia="宋体" w:cs="宋体"/>
                <w:dstrike w:val="0"/>
                <w:color w:val="auto"/>
                <w:spacing w:val="-3"/>
                <w:sz w:val="21"/>
                <w:szCs w:val="21"/>
                <w:highlight w:val="none"/>
                <w:lang w:val="en-US" w:eastAsia="zh-CN"/>
              </w:rPr>
              <w:t xml:space="preserve"> </w:t>
            </w:r>
            <w:r>
              <w:rPr>
                <w:rFonts w:hint="eastAsia" w:cs="宋体"/>
                <w:dstrike w:val="0"/>
                <w:color w:val="auto"/>
                <w:spacing w:val="-3"/>
                <w:sz w:val="21"/>
                <w:szCs w:val="21"/>
                <w:highlight w:val="none"/>
                <w:lang w:val="en-US" w:eastAsia="zh-CN"/>
              </w:rPr>
              <w:t>8</w:t>
            </w:r>
            <w:r>
              <w:rPr>
                <w:rFonts w:hint="eastAsia" w:ascii="宋体" w:hAnsi="宋体" w:eastAsia="宋体" w:cs="宋体"/>
                <w:color w:val="auto"/>
                <w:sz w:val="21"/>
                <w:szCs w:val="21"/>
                <w:highlight w:val="none"/>
                <w:lang w:val="en-US" w:eastAsia="zh-CN"/>
              </w:rPr>
              <w:t>00h乙酸盐雾试验（ASS试验）耐腐蚀等级达到10级；</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b/>
                <w:bCs/>
                <w:dstrike w:val="0"/>
                <w:color w:val="auto"/>
                <w:spacing w:val="-12"/>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⑤</w:t>
            </w:r>
            <w:r>
              <w:rPr>
                <w:rFonts w:hint="eastAsia" w:ascii="宋体" w:hAnsi="宋体" w:eastAsia="宋体" w:cs="宋体"/>
                <w:color w:val="auto"/>
                <w:sz w:val="21"/>
                <w:szCs w:val="21"/>
                <w:highlight w:val="none"/>
                <w:lang w:val="en-US" w:eastAsia="zh-CN"/>
              </w:rPr>
              <w:t>产品有害物质 家具涂层可迁移元素：铅Pb、镉Cd、铬Cr、汞 Hg、锑 Sb、钡 Ba、硒 Se、砷 As检验检测结果均为未检出、甲醛释放量≤0.003mg/m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、甲苯≤0.01mg/m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、二甲苯≤0.01mg/m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、TVOC≤0.01mg/m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372" w:firstLineChars="200"/>
              <w:textAlignment w:val="auto"/>
              <w:rPr>
                <w:rFonts w:hint="eastAsia" w:ascii="宋体" w:hAnsi="宋体" w:eastAsia="宋体" w:cs="宋体"/>
                <w:b w:val="0"/>
                <w:bCs w:val="0"/>
                <w:dstrike w:val="0"/>
                <w:color w:val="auto"/>
                <w:spacing w:val="-2"/>
                <w:w w:val="95"/>
                <w:sz w:val="21"/>
                <w:szCs w:val="21"/>
                <w:highlight w:val="none"/>
                <w:lang w:val="en-US" w:eastAsia="zh-CN"/>
              </w:rPr>
            </w:pPr>
            <w:r>
              <w:rPr>
                <w:rFonts w:hint="eastAsia" w:ascii="宋体" w:hAnsi="宋体" w:eastAsia="宋体" w:cs="宋体"/>
                <w:b w:val="0"/>
                <w:bCs w:val="0"/>
                <w:dstrike w:val="0"/>
                <w:color w:val="auto"/>
                <w:spacing w:val="-12"/>
                <w:sz w:val="21"/>
                <w:szCs w:val="21"/>
                <w:highlight w:val="none"/>
                <w:lang w:val="en-US" w:eastAsia="zh-CN"/>
              </w:rPr>
              <w:t>每有一个部件满足</w:t>
            </w:r>
            <w:r>
              <w:rPr>
                <w:rFonts w:hint="eastAsia" w:ascii="宋体" w:hAnsi="宋体" w:eastAsia="宋体" w:cs="宋体"/>
                <w:b w:val="0"/>
                <w:bCs w:val="0"/>
                <w:dstrike w:val="0"/>
                <w:color w:val="auto"/>
                <w:spacing w:val="-2"/>
                <w:w w:val="95"/>
                <w:sz w:val="21"/>
                <w:szCs w:val="21"/>
                <w:highlight w:val="none"/>
                <w:lang w:val="en-US" w:eastAsia="zh-CN"/>
              </w:rPr>
              <w:t>以上</w:t>
            </w:r>
            <w:r>
              <w:rPr>
                <w:rFonts w:hint="eastAsia" w:ascii="宋体" w:hAnsi="宋体" w:eastAsia="宋体" w:cs="宋体"/>
                <w:b w:val="0"/>
                <w:bCs w:val="0"/>
                <w:dstrike w:val="0"/>
                <w:color w:val="auto"/>
                <w:spacing w:val="-5"/>
                <w:sz w:val="21"/>
                <w:szCs w:val="21"/>
                <w:highlight w:val="none"/>
              </w:rPr>
              <w:t>①</w:t>
            </w:r>
            <w:r>
              <w:rPr>
                <w:rFonts w:hint="eastAsia" w:ascii="宋体" w:hAnsi="宋体" w:eastAsia="宋体" w:cs="宋体"/>
                <w:b w:val="0"/>
                <w:bCs w:val="0"/>
                <w:dstrike w:val="0"/>
                <w:color w:val="auto"/>
                <w:spacing w:val="-5"/>
                <w:sz w:val="21"/>
                <w:szCs w:val="21"/>
                <w:highlight w:val="none"/>
                <w:lang w:val="en-US" w:eastAsia="zh-CN"/>
              </w:rPr>
              <w:t>-⑤</w:t>
            </w:r>
            <w:r>
              <w:rPr>
                <w:rFonts w:hint="eastAsia" w:ascii="宋体" w:hAnsi="宋体" w:eastAsia="宋体" w:cs="宋体"/>
                <w:b w:val="0"/>
                <w:bCs w:val="0"/>
                <w:dstrike w:val="0"/>
                <w:color w:val="auto"/>
                <w:spacing w:val="-12"/>
                <w:sz w:val="21"/>
                <w:szCs w:val="21"/>
                <w:highlight w:val="none"/>
                <w:lang w:val="en-US" w:eastAsia="zh-CN"/>
              </w:rPr>
              <w:t>项中的的任意一项指标要求加0.4分，总分不超过</w:t>
            </w:r>
            <w:r>
              <w:rPr>
                <w:rFonts w:hint="eastAsia" w:cs="宋体"/>
                <w:b w:val="0"/>
                <w:bCs w:val="0"/>
                <w:dstrike w:val="0"/>
                <w:color w:val="auto"/>
                <w:spacing w:val="-12"/>
                <w:sz w:val="21"/>
                <w:szCs w:val="21"/>
                <w:highlight w:val="none"/>
                <w:lang w:val="en-US" w:eastAsia="zh-CN"/>
              </w:rPr>
              <w:t>10</w:t>
            </w:r>
            <w:r>
              <w:rPr>
                <w:rFonts w:hint="eastAsia" w:ascii="宋体" w:hAnsi="宋体" w:eastAsia="宋体" w:cs="宋体"/>
                <w:b w:val="0"/>
                <w:bCs w:val="0"/>
                <w:dstrike w:val="0"/>
                <w:color w:val="auto"/>
                <w:spacing w:val="-12"/>
                <w:sz w:val="21"/>
                <w:szCs w:val="21"/>
                <w:highlight w:val="none"/>
                <w:lang w:val="en-US" w:eastAsia="zh-CN"/>
              </w:rPr>
              <w:t>分。</w:t>
            </w:r>
          </w:p>
          <w:p>
            <w:pPr>
              <w:pStyle w:val="17"/>
              <w:keepNext w:val="0"/>
              <w:keepLines w:val="0"/>
              <w:pageBreakBefore w:val="0"/>
              <w:widowControl w:val="0"/>
              <w:kinsoku/>
              <w:wordWrap/>
              <w:overflowPunct/>
              <w:topLinePunct w:val="0"/>
              <w:autoSpaceDE/>
              <w:autoSpaceDN/>
              <w:bidi w:val="0"/>
              <w:adjustRightInd/>
              <w:snapToGrid/>
              <w:spacing w:line="252" w:lineRule="exact"/>
              <w:ind w:left="85" w:leftChars="0" w:right="0" w:rightChars="0" w:firstLine="422" w:firstLineChars="200"/>
              <w:textAlignment w:val="auto"/>
              <w:rPr>
                <w:rFonts w:hint="eastAsia" w:ascii="宋体" w:hAnsi="宋体" w:eastAsia="宋体" w:cs="宋体"/>
                <w:b/>
                <w:dstrike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评审依据：提供具备CMA、CNAS标志的第三方质量监督检验机构出具的2021年以来的底盘</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立柱、搁板、挂板、侧面板、顶板抽样检验报告复印件加盖生产厂家公章（注：抽样基数≧100件），报告封面带二维码查询。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dstrike w:val="0"/>
                <w:color w:val="auto"/>
                <w:sz w:val="21"/>
                <w:szCs w:val="21"/>
                <w:highlight w:val="none"/>
              </w:rPr>
              <w:t>不锈钢轨芯</w:t>
            </w:r>
          </w:p>
        </w:tc>
        <w:tc>
          <w:tcPr>
            <w:tcW w:w="676" w:type="dxa"/>
            <w:noWrap w:val="0"/>
            <w:vAlign w:val="center"/>
          </w:tcPr>
          <w:p>
            <w:pPr>
              <w:pStyle w:val="17"/>
              <w:spacing w:line="252" w:lineRule="exact"/>
              <w:ind w:left="5" w:leftChars="0" w:right="0" w:rightChars="0"/>
              <w:jc w:val="center"/>
              <w:rPr>
                <w:rFonts w:hint="eastAsia" w:ascii="宋体" w:hAnsi="宋体" w:eastAsia="宋体" w:cs="宋体"/>
                <w:b w:val="0"/>
                <w:bCs w:val="0"/>
                <w:dstrike w:val="0"/>
                <w:color w:val="auto"/>
                <w:spacing w:val="-12"/>
                <w:sz w:val="21"/>
                <w:szCs w:val="21"/>
                <w:highlight w:val="none"/>
                <w:lang w:val="en-US" w:eastAsia="zh-CN" w:bidi="zh-CN"/>
              </w:rPr>
            </w:pPr>
            <w:r>
              <w:rPr>
                <w:rFonts w:hint="eastAsia" w:ascii="宋体" w:hAnsi="宋体" w:eastAsia="宋体" w:cs="宋体"/>
                <w:b w:val="0"/>
                <w:bCs w:val="0"/>
                <w:dstrike w:val="0"/>
                <w:color w:val="auto"/>
                <w:spacing w:val="-12"/>
                <w:sz w:val="21"/>
                <w:szCs w:val="21"/>
                <w:highlight w:val="none"/>
                <w:lang w:val="en-US" w:eastAsia="zh-CN"/>
              </w:rPr>
              <w:t>2</w:t>
            </w:r>
          </w:p>
        </w:tc>
        <w:tc>
          <w:tcPr>
            <w:tcW w:w="6247" w:type="dxa"/>
            <w:noWrap w:val="0"/>
            <w:tcMar>
              <w:top w:w="85" w:type="dxa"/>
              <w:left w:w="85" w:type="dxa"/>
              <w:bottom w:w="85" w:type="dxa"/>
              <w:right w:w="85" w:type="dxa"/>
            </w:tcMar>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rPr>
              <w:t>不锈钢轨芯</w:t>
            </w: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3</w:t>
            </w:r>
            <w:r>
              <w:rPr>
                <w:rFonts w:hint="eastAsia" w:ascii="宋体" w:hAnsi="宋体" w:eastAsia="宋体" w:cs="宋体"/>
                <w:dstrike w:val="0"/>
                <w:color w:val="auto"/>
                <w:sz w:val="21"/>
                <w:szCs w:val="21"/>
                <w:highlight w:val="none"/>
              </w:rPr>
              <w:t>00h</w:t>
            </w:r>
            <w:r>
              <w:rPr>
                <w:rFonts w:hint="eastAsia" w:ascii="宋体" w:hAnsi="宋体" w:eastAsia="宋体" w:cs="宋体"/>
                <w:dstrike w:val="0"/>
                <w:color w:val="auto"/>
                <w:sz w:val="21"/>
                <w:szCs w:val="21"/>
                <w:highlight w:val="none"/>
                <w:lang w:val="en-US" w:eastAsia="zh-CN"/>
              </w:rPr>
              <w:t>&lt;</w:t>
            </w:r>
            <w:r>
              <w:rPr>
                <w:rFonts w:hint="eastAsia" w:ascii="宋体" w:hAnsi="宋体" w:eastAsia="宋体" w:cs="宋体"/>
                <w:dstrike w:val="0"/>
                <w:color w:val="auto"/>
                <w:sz w:val="21"/>
                <w:szCs w:val="21"/>
                <w:highlight w:val="none"/>
              </w:rPr>
              <w:t>乙酸盐雾试验</w:t>
            </w:r>
            <w:r>
              <w:rPr>
                <w:rFonts w:hint="eastAsia" w:ascii="宋体" w:hAnsi="宋体" w:eastAsia="宋体" w:cs="宋体"/>
                <w:dstrike w:val="0"/>
                <w:color w:val="auto"/>
                <w:sz w:val="21"/>
                <w:szCs w:val="21"/>
                <w:highlight w:val="none"/>
                <w:lang w:val="en-US" w:eastAsia="zh-CN"/>
              </w:rPr>
              <w:t>≦5</w:t>
            </w:r>
            <w:r>
              <w:rPr>
                <w:rFonts w:hint="eastAsia" w:ascii="宋体" w:hAnsi="宋体" w:eastAsia="宋体" w:cs="宋体"/>
                <w:dstrike w:val="0"/>
                <w:color w:val="auto"/>
                <w:sz w:val="21"/>
                <w:szCs w:val="21"/>
                <w:highlight w:val="none"/>
              </w:rPr>
              <w:t>00h耐腐蚀等级达到 10 级</w:t>
            </w:r>
            <w:r>
              <w:rPr>
                <w:rFonts w:hint="eastAsia" w:ascii="宋体" w:hAnsi="宋体" w:eastAsia="宋体" w:cs="宋体"/>
                <w:dstrike w:val="0"/>
                <w:color w:val="auto"/>
                <w:sz w:val="21"/>
                <w:szCs w:val="21"/>
                <w:highlight w:val="none"/>
                <w:lang w:val="en-US" w:eastAsia="zh-CN"/>
              </w:rPr>
              <w:t>得1分；</w:t>
            </w:r>
            <w:r>
              <w:rPr>
                <w:rFonts w:hint="eastAsia" w:ascii="宋体" w:hAnsi="宋体" w:eastAsia="宋体" w:cs="宋体"/>
                <w:dstrike w:val="0"/>
                <w:color w:val="auto"/>
                <w:sz w:val="21"/>
                <w:szCs w:val="21"/>
                <w:highlight w:val="none"/>
              </w:rPr>
              <w:t>乙酸盐雾试验</w:t>
            </w:r>
            <w:r>
              <w:rPr>
                <w:rFonts w:hint="eastAsia" w:ascii="宋体" w:hAnsi="宋体" w:eastAsia="宋体" w:cs="宋体"/>
                <w:dstrike w:val="0"/>
                <w:color w:val="auto"/>
                <w:sz w:val="21"/>
                <w:szCs w:val="21"/>
                <w:highlight w:val="none"/>
                <w:lang w:val="en-US" w:eastAsia="zh-CN"/>
              </w:rPr>
              <w:t>＞500</w:t>
            </w:r>
            <w:r>
              <w:rPr>
                <w:rFonts w:hint="eastAsia" w:ascii="宋体" w:hAnsi="宋体" w:eastAsia="宋体" w:cs="宋体"/>
                <w:dstrike w:val="0"/>
                <w:color w:val="auto"/>
                <w:sz w:val="21"/>
                <w:szCs w:val="21"/>
                <w:highlight w:val="none"/>
              </w:rPr>
              <w:t>h耐腐蚀等级达到 10 级</w:t>
            </w:r>
            <w:r>
              <w:rPr>
                <w:rFonts w:hint="eastAsia" w:ascii="宋体" w:hAnsi="宋体" w:eastAsia="宋体" w:cs="宋体"/>
                <w:dstrike w:val="0"/>
                <w:color w:val="auto"/>
                <w:sz w:val="21"/>
                <w:szCs w:val="21"/>
                <w:highlight w:val="none"/>
                <w:lang w:val="en-US" w:eastAsia="zh-CN"/>
              </w:rPr>
              <w:t>得2分；</w:t>
            </w:r>
          </w:p>
          <w:p>
            <w:pPr>
              <w:ind w:left="0" w:leftChars="0" w:right="0" w:rightChars="0"/>
              <w:rPr>
                <w:rFonts w:hint="eastAsia" w:ascii="宋体" w:hAnsi="宋体" w:eastAsia="宋体" w:cs="宋体"/>
                <w:b/>
                <w:dstrike w:val="0"/>
                <w:color w:val="auto"/>
                <w:spacing w:val="-14"/>
                <w:sz w:val="21"/>
                <w:szCs w:val="21"/>
                <w:highlight w:val="none"/>
                <w:lang w:val="en-US" w:eastAsia="zh-CN" w:bidi="zh-CN"/>
              </w:rPr>
            </w:pPr>
            <w:r>
              <w:rPr>
                <w:rFonts w:hint="eastAsia" w:ascii="宋体" w:hAnsi="宋体" w:eastAsia="宋体" w:cs="宋体"/>
                <w:b/>
                <w:dstrike w:val="0"/>
                <w:color w:val="auto"/>
                <w:spacing w:val="-14"/>
                <w:sz w:val="21"/>
                <w:szCs w:val="21"/>
                <w:highlight w:val="none"/>
                <w:lang w:val="en-US" w:eastAsia="zh-CN"/>
              </w:rPr>
              <w:t xml:space="preserve"> </w:t>
            </w:r>
            <w:r>
              <w:rPr>
                <w:rFonts w:hint="eastAsia" w:ascii="宋体" w:hAnsi="宋体" w:eastAsia="宋体" w:cs="宋体"/>
                <w:b/>
                <w:dstrike w:val="0"/>
                <w:color w:val="auto"/>
                <w:spacing w:val="-14"/>
                <w:sz w:val="21"/>
                <w:szCs w:val="21"/>
                <w:highlight w:val="none"/>
              </w:rPr>
              <w:t xml:space="preserve">评审依据：提供具有 </w:t>
            </w:r>
            <w:r>
              <w:rPr>
                <w:rFonts w:hint="eastAsia" w:ascii="宋体" w:hAnsi="宋体" w:eastAsia="宋体" w:cs="宋体"/>
                <w:b/>
                <w:dstrike w:val="0"/>
                <w:color w:val="auto"/>
                <w:sz w:val="21"/>
                <w:szCs w:val="21"/>
                <w:highlight w:val="none"/>
              </w:rPr>
              <w:t>CMA</w:t>
            </w:r>
            <w:r>
              <w:rPr>
                <w:rFonts w:hint="eastAsia" w:ascii="宋体" w:hAnsi="宋体" w:eastAsia="宋体" w:cs="宋体"/>
                <w:b/>
                <w:dstrike w:val="0"/>
                <w:color w:val="auto"/>
                <w:spacing w:val="-37"/>
                <w:sz w:val="21"/>
                <w:szCs w:val="21"/>
                <w:highlight w:val="none"/>
              </w:rPr>
              <w:t xml:space="preserve"> 或 </w:t>
            </w:r>
            <w:r>
              <w:rPr>
                <w:rFonts w:hint="eastAsia" w:ascii="宋体" w:hAnsi="宋体" w:eastAsia="宋体" w:cs="宋体"/>
                <w:b/>
                <w:dstrike w:val="0"/>
                <w:color w:val="auto"/>
                <w:sz w:val="21"/>
                <w:szCs w:val="21"/>
                <w:highlight w:val="none"/>
              </w:rPr>
              <w:t>CNAS</w:t>
            </w:r>
            <w:r>
              <w:rPr>
                <w:rFonts w:hint="eastAsia" w:ascii="宋体" w:hAnsi="宋体" w:eastAsia="宋体" w:cs="宋体"/>
                <w:b/>
                <w:dstrike w:val="0"/>
                <w:color w:val="auto"/>
                <w:spacing w:val="-8"/>
                <w:sz w:val="21"/>
                <w:szCs w:val="21"/>
                <w:highlight w:val="none"/>
              </w:rPr>
              <w:t xml:space="preserve"> 标志的第三方检验机构出具的不锈钢</w:t>
            </w:r>
            <w:r>
              <w:rPr>
                <w:rFonts w:hint="eastAsia" w:ascii="宋体" w:hAnsi="宋体" w:eastAsia="宋体" w:cs="宋体"/>
                <w:b/>
                <w:dstrike w:val="0"/>
                <w:color w:val="auto"/>
                <w:sz w:val="21"/>
                <w:szCs w:val="21"/>
                <w:highlight w:val="none"/>
              </w:rPr>
              <w:t>轨芯抽样检验报告</w:t>
            </w:r>
            <w:r>
              <w:rPr>
                <w:rFonts w:hint="eastAsia" w:ascii="宋体" w:hAnsi="宋体" w:eastAsia="宋体" w:cs="宋体"/>
                <w:b/>
                <w:bCs/>
                <w:color w:val="auto"/>
                <w:sz w:val="21"/>
                <w:szCs w:val="21"/>
                <w:highlight w:val="none"/>
                <w:lang w:val="en-US" w:eastAsia="zh-CN"/>
              </w:rPr>
              <w:t>复印件加盖生产厂家公章（注：抽样基数≧100件），报告封面带二维码查询。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喷粉质量</w:t>
            </w:r>
          </w:p>
        </w:tc>
        <w:tc>
          <w:tcPr>
            <w:tcW w:w="676"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粉末：检验依据须符合HG/T 2006-2006《热固性粉末涂料》的标准要求，检测项目至少包含：筛余物、杯突、光泽度、耐碱性（168h无异常）。</w:t>
            </w:r>
            <w:r>
              <w:rPr>
                <w:rFonts w:hint="eastAsia" w:ascii="宋体" w:hAnsi="宋体" w:eastAsia="宋体" w:cs="宋体"/>
                <w:b w:val="0"/>
                <w:bCs w:val="0"/>
                <w:color w:val="auto"/>
                <w:sz w:val="21"/>
                <w:szCs w:val="21"/>
                <w:highlight w:val="none"/>
                <w:lang w:val="en-US" w:eastAsia="zh-CN"/>
              </w:rPr>
              <w:t>满足此指标加2分，否则不得分。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评审依据：提供具备CMA、CNAS标志的第三方质量监督检验机构出具的2021年以来的粉末抽样检验报告</w:t>
            </w:r>
            <w:r>
              <w:rPr>
                <w:rFonts w:hint="eastAsia"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lang w:val="en-US" w:eastAsia="zh-CN"/>
              </w:rPr>
              <w:t>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生产能力</w:t>
            </w:r>
          </w:p>
        </w:tc>
        <w:tc>
          <w:tcPr>
            <w:tcW w:w="676"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具有先进的生产设备：</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①柔性加工生产线≥4台计2分；＜4台计1分；无设备不计分；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②机器人设备≥10台计2分；＜10台计1分；无设备不计分；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③若有其它生产设备的，每增加一个品种的生产设备加0.5分，计满1分为止。</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bCs/>
                <w:i w:val="0"/>
                <w:iCs w:val="0"/>
                <w:color w:val="auto"/>
                <w:sz w:val="21"/>
                <w:szCs w:val="21"/>
                <w:highlight w:val="none"/>
                <w:lang w:val="en-US" w:eastAsia="zh-CN"/>
              </w:rPr>
              <w:t>评审依据：</w:t>
            </w:r>
            <w:r>
              <w:rPr>
                <w:rFonts w:hint="eastAsia" w:ascii="宋体" w:hAnsi="宋体" w:eastAsia="宋体" w:cs="宋体"/>
                <w:b/>
                <w:bCs/>
                <w:i w:val="0"/>
                <w:iCs w:val="0"/>
                <w:color w:val="auto"/>
                <w:kern w:val="0"/>
                <w:sz w:val="21"/>
                <w:szCs w:val="21"/>
                <w:highlight w:val="none"/>
                <w:lang w:val="en-US" w:eastAsia="zh-CN" w:bidi="zh-CN"/>
              </w:rPr>
              <w:t>此项须提供购置设备的发票复印件及生产现场的实物照片</w:t>
            </w:r>
            <w:r>
              <w:rPr>
                <w:rFonts w:hint="eastAsia" w:ascii="宋体" w:hAnsi="宋体" w:eastAsia="宋体" w:cs="宋体"/>
                <w:b w:val="0"/>
                <w:bCs w:val="0"/>
                <w:color w:val="auto"/>
                <w:kern w:val="0"/>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人员配置</w:t>
            </w:r>
          </w:p>
        </w:tc>
        <w:tc>
          <w:tcPr>
            <w:tcW w:w="676" w:type="dxa"/>
            <w:noWrap w:val="0"/>
            <w:vAlign w:val="center"/>
          </w:tcPr>
          <w:p>
            <w:pPr>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247" w:type="dxa"/>
            <w:noWrap w:val="0"/>
            <w:tcMar>
              <w:top w:w="85" w:type="dxa"/>
              <w:left w:w="85" w:type="dxa"/>
              <w:bottom w:w="85" w:type="dxa"/>
              <w:right w:w="85" w:type="dxa"/>
            </w:tcMar>
            <w:vAlign w:val="center"/>
          </w:tcPr>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kern w:val="2"/>
                <w:sz w:val="21"/>
                <w:szCs w:val="21"/>
                <w:highlight w:val="none"/>
                <w:lang w:val="en-US" w:eastAsia="zh-CN" w:bidi="ar-SA"/>
              </w:rPr>
              <w:t>提供的人员配备：</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1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产品设计人员；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2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产品制造人员；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3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产品维保人员；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④机械工艺工程师（高级）。</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每提供一项得0.5分，总分2分。</w:t>
            </w:r>
          </w:p>
          <w:p>
            <w:pPr>
              <w:keepNext w:val="0"/>
              <w:keepLines w:val="0"/>
              <w:pageBreakBefore w:val="0"/>
              <w:widowControl w:val="0"/>
              <w:kinsoku/>
              <w:wordWrap/>
              <w:overflowPunct/>
              <w:topLinePunct w:val="0"/>
              <w:autoSpaceDE/>
              <w:autoSpaceDN/>
              <w:bidi w:val="0"/>
              <w:adjustRightInd/>
              <w:snapToGrid/>
              <w:spacing w:before="93" w:line="240" w:lineRule="auto"/>
              <w:ind w:left="0" w:leftChars="0" w:right="0" w:rightChars="0" w:firstLine="422" w:firstLineChars="200"/>
              <w:textAlignment w:val="auto"/>
              <w:outlineLvl w:val="9"/>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评审依据：投标人或产品供应商</w:t>
            </w:r>
            <w:r>
              <w:rPr>
                <w:rFonts w:hint="eastAsia" w:ascii="宋体" w:hAnsi="宋体" w:eastAsia="宋体" w:cs="宋体"/>
                <w:b/>
                <w:bCs/>
                <w:color w:val="auto"/>
                <w:kern w:val="2"/>
                <w:sz w:val="21"/>
                <w:szCs w:val="21"/>
                <w:highlight w:val="none"/>
                <w:lang w:val="en-US" w:eastAsia="zh-CN" w:bidi="ar-SA"/>
              </w:rPr>
              <w:t>提供人员职称证书及最近半年内企业为其缴纳社保证明文件</w:t>
            </w:r>
            <w:r>
              <w:rPr>
                <w:rFonts w:hint="eastAsia" w:ascii="宋体" w:hAnsi="宋体" w:eastAsia="宋体" w:cs="宋体"/>
                <w:b/>
                <w:bCs/>
                <w:color w:val="auto"/>
                <w:sz w:val="21"/>
                <w:szCs w:val="21"/>
                <w:highlight w:val="none"/>
                <w:lang w:val="en-US" w:eastAsia="zh-CN"/>
              </w:rPr>
              <w:t>复印件加盖公章</w:t>
            </w:r>
            <w:r>
              <w:rPr>
                <w:rFonts w:hint="eastAsia" w:ascii="宋体" w:hAnsi="宋体" w:eastAsia="宋体" w:cs="宋体"/>
                <w:b/>
                <w:bCs/>
                <w:color w:val="auto"/>
                <w:kern w:val="2"/>
                <w:sz w:val="21"/>
                <w:szCs w:val="21"/>
                <w:highlight w:val="none"/>
                <w:lang w:val="en-US" w:eastAsia="zh-CN" w:bidi="ar-SA"/>
              </w:rPr>
              <w:t>，同一人员拥有多项技能或职称不重复计分。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1" w:type="dxa"/>
            <w:vMerge w:val="continue"/>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实施</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方案</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6247" w:type="dxa"/>
            <w:noWrap w:val="0"/>
            <w:tcMar>
              <w:top w:w="85" w:type="dxa"/>
              <w:left w:w="85" w:type="dxa"/>
              <w:bottom w:w="85" w:type="dxa"/>
              <w:right w:w="85" w:type="dxa"/>
            </w:tcMar>
            <w:vAlign w:val="top"/>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实施方案包括但不限于：实施步骤、交货期、设备调试、质量保证、应急预案等内容。</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1、实施方案思路清晰，措施欠合理，可以满足采购需求，得0-2分；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实施方案思路清晰，措施较详细、完善、合理，基本满足采购需求，得3-4分；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实施方案措施具体详细、完善、合理、思路清晰完全满足采购需求，得5-6分；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1" w:type="dxa"/>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cs="宋体"/>
                <w:color w:val="auto"/>
                <w:kern w:val="0"/>
                <w:sz w:val="21"/>
                <w:szCs w:val="21"/>
                <w:highlight w:val="none"/>
                <w:lang w:val="en-US" w:eastAsia="zh-CN" w:bidi="ar-SA"/>
              </w:rPr>
              <w:t>6</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售后服务承诺书内容完整、可行、免费质保修期限、到达故障现场时间、故障出现解决方案、项目实施方案、定期维护（注明时间）、免费技术培训方案、保修期外维修方案、其他优惠措施、安装要求及方案等方面一般得0～2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售后服务承诺书内容完整、可行、免费质保修期限、到达故障现场时间、故障出现解决方案、项目实施方案、定期维护（注明时间）、免费技术培训方案、保修期外维修方案、其他优惠措施、安装要求及方案等方面良好得3～4分。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售后服务承诺书内容完整、可行、免费质保修期限、到达故障现场时间、故障出现解决方案、项目实施方案、定期维护（注明时间）、免费技术培训方案、保修期外维修方案、其他优惠措施、安装要求及方案等方面优秀得5～6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评审依据：提供售后服务方案。</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383838"/>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0"/>
        <w:textAlignment w:val="auto"/>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六、</w:t>
      </w:r>
      <w:r>
        <w:rPr>
          <w:rFonts w:hint="eastAsia" w:ascii="宋体" w:hAnsi="宋体" w:eastAsia="宋体" w:cs="宋体"/>
          <w:b/>
          <w:color w:val="000000"/>
          <w:kern w:val="0"/>
          <w:sz w:val="21"/>
          <w:szCs w:val="21"/>
        </w:rPr>
        <w:t>技术</w:t>
      </w:r>
      <w:r>
        <w:rPr>
          <w:rFonts w:hint="eastAsia" w:ascii="宋体" w:hAnsi="宋体" w:eastAsia="宋体" w:cs="宋体"/>
          <w:b/>
          <w:color w:val="000000"/>
          <w:kern w:val="0"/>
          <w:sz w:val="21"/>
          <w:szCs w:val="21"/>
          <w:lang w:val="en-US" w:eastAsia="zh-CN"/>
        </w:rPr>
        <w:t>要求：</w:t>
      </w:r>
    </w:p>
    <w:p>
      <w:pPr>
        <w:spacing w:beforeLines="5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产品部件用材一览表</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877"/>
        <w:gridCol w:w="1276"/>
        <w:gridCol w:w="1554"/>
        <w:gridCol w:w="1710"/>
        <w:gridCol w:w="2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名称</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设备配置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材料规格</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采用标准</w:t>
            </w:r>
          </w:p>
        </w:tc>
        <w:tc>
          <w:tcPr>
            <w:tcW w:w="2456" w:type="dxa"/>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性能说明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轨道</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轨道座</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铝合金</w:t>
            </w:r>
          </w:p>
        </w:tc>
        <w:tc>
          <w:tcPr>
            <w:tcW w:w="1710" w:type="dxa"/>
            <w:shd w:val="clear" w:color="auto" w:fill="auto"/>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6301</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rPr>
              <w:t>轨道安装对接采用嵌入式结构。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轨芯</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20mm×20mm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不锈钢</w:t>
            </w:r>
          </w:p>
        </w:tc>
        <w:tc>
          <w:tcPr>
            <w:tcW w:w="1710" w:type="dxa"/>
            <w:shd w:val="clear" w:color="auto" w:fill="auto"/>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GB/T3280</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嵌入对接式底框</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嵌入对接式底框、轴档、夹紧块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热轧钢板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GB/T711</w:t>
            </w:r>
          </w:p>
        </w:tc>
        <w:tc>
          <w:tcPr>
            <w:tcW w:w="2456" w:type="dxa"/>
            <w:vAlign w:val="center"/>
          </w:tcPr>
          <w:p>
            <w:pPr>
              <w:rPr>
                <w:rFonts w:asciiTheme="minorEastAsia" w:hAnsiTheme="minorEastAsia" w:eastAsiaTheme="minorEastAsia" w:cstheme="minorEastAsia"/>
                <w:kern w:val="2"/>
                <w:sz w:val="21"/>
                <w:szCs w:val="21"/>
                <w:lang w:val="en-US" w:bidi="ar-SA"/>
              </w:rPr>
            </w:pPr>
            <w:r>
              <w:rPr>
                <w:rFonts w:hint="eastAsia" w:asciiTheme="minorEastAsia" w:hAnsiTheme="minorEastAsia" w:cstheme="minorEastAsia"/>
                <w:sz w:val="21"/>
                <w:szCs w:val="21"/>
              </w:rPr>
              <w:t>嵌入对接式底框</w:t>
            </w:r>
            <w:r>
              <w:rPr>
                <w:rFonts w:hint="eastAsia" w:asciiTheme="minorEastAsia" w:hAnsiTheme="minorEastAsia" w:eastAsiaTheme="minorEastAsia" w:cstheme="minorEastAsia"/>
                <w:sz w:val="21"/>
                <w:szCs w:val="21"/>
              </w:rPr>
              <w:t>采用整体焊接,钢性足,不变形。</w:t>
            </w:r>
          </w:p>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架体</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立柱</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架体结实、坚固、设计新颖，安装规范，层数和间距自由调整表面喷塑平正光亮，色泽均匀一致，无彭泡、脱落、伤痕等缺陷。外观漂亮。隔板承重≥100kg，满负荷24小时后屈挠度4mm，制载后自动恢复，不得有裂纹及永久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隔板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rPr>
              <w:t>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挂</w:t>
            </w:r>
            <w:r>
              <w:rPr>
                <w:rFonts w:hint="eastAsia" w:asciiTheme="majorEastAsia" w:hAnsiTheme="majorEastAsia" w:eastAsiaTheme="majorEastAsia" w:cstheme="majorEastAsia"/>
                <w:sz w:val="21"/>
                <w:szCs w:val="21"/>
              </w:rPr>
              <w:t>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rPr>
              <w:t>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档棒</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门面</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restart"/>
            <w:vAlign w:val="center"/>
          </w:tcPr>
          <w:p>
            <w:pPr>
              <w:jc w:val="center"/>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sz w:val="21"/>
                <w:szCs w:val="21"/>
                <w:lang w:val="en-US"/>
              </w:rPr>
              <w:t>表面压印轮廓清晰、线条流畅。</w:t>
            </w:r>
          </w:p>
          <w:p>
            <w:pPr>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定位模块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ABS</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注塑件</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Q/CNPC99</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侧板</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三节式</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Align w:val="center"/>
          </w:tcPr>
          <w:p>
            <w:pPr>
              <w:jc w:val="center"/>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lang w:val="en-US"/>
              </w:rPr>
              <w:t>装配平整、吻合性好。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传动</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机构</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轴承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HR204E级</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GB/T16940</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优质轴承。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传动主轴</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实心45#钢</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GB/T16940</w:t>
            </w:r>
          </w:p>
        </w:tc>
        <w:tc>
          <w:tcPr>
            <w:tcW w:w="2456" w:type="dxa"/>
            <w:vMerge w:val="restart"/>
            <w:vAlign w:val="center"/>
          </w:tcPr>
          <w:p>
            <w:pPr>
              <w:jc w:val="center"/>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sz w:val="21"/>
                <w:szCs w:val="21"/>
              </w:rPr>
              <w:t>传动机构配合精度高，定位可靠。传动轻便灵活，摇力轻，运行平稳、</w:t>
            </w:r>
            <w:r>
              <w:rPr>
                <w:rFonts w:hint="eastAsia" w:asciiTheme="minorEastAsia" w:hAnsiTheme="minorEastAsia" w:eastAsiaTheme="minorEastAsia" w:cstheme="minorEastAsia"/>
                <w:sz w:val="21"/>
                <w:szCs w:val="21"/>
                <w:lang w:val="en-US"/>
              </w:rPr>
              <w:t>无卡阻</w:t>
            </w:r>
            <w:r>
              <w:rPr>
                <w:rFonts w:hint="eastAsia" w:asciiTheme="minorEastAsia" w:hAnsiTheme="minorEastAsia" w:eastAsiaTheme="minorEastAsia" w:cstheme="minorEastAsia"/>
                <w:sz w:val="21"/>
                <w:szCs w:val="21"/>
              </w:rPr>
              <w:t>。</w:t>
            </w:r>
          </w:p>
          <w:p>
            <w:pPr>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连接钢管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无缝钢管</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GB/T17395</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铁滚轮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HT200灰铁铸造</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CB/T290</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链 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ZG45滚轮精制</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QB/T1885</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摩托车链条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Φ8.5节距12.7FR420</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GB/T14212</w:t>
            </w:r>
          </w:p>
        </w:tc>
        <w:tc>
          <w:tcPr>
            <w:tcW w:w="2456" w:type="dxa"/>
            <w:vAlign w:val="center"/>
          </w:tcPr>
          <w:p>
            <w:pPr>
              <w:jc w:val="center"/>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rPr>
              <w:t>链条破断力≥1800kg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摇手</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T字或</w:t>
            </w:r>
            <w:r>
              <w:rPr>
                <w:rFonts w:hint="eastAsia" w:asciiTheme="majorEastAsia" w:hAnsiTheme="majorEastAsia" w:eastAsiaTheme="majorEastAsia" w:cstheme="majorEastAsia"/>
                <w:sz w:val="21"/>
                <w:szCs w:val="21"/>
              </w:rPr>
              <w:t>圆盘</w:t>
            </w:r>
            <w:r>
              <w:rPr>
                <w:rFonts w:hint="eastAsia" w:asciiTheme="majorEastAsia" w:hAnsiTheme="majorEastAsia" w:eastAsiaTheme="majorEastAsia" w:cstheme="majorEastAsia"/>
                <w:sz w:val="21"/>
                <w:szCs w:val="21"/>
                <w:lang w:val="en-US"/>
              </w:rPr>
              <w:t>式</w:t>
            </w:r>
          </w:p>
        </w:tc>
        <w:tc>
          <w:tcPr>
            <w:tcW w:w="1710"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双向超越离合器结构GB1285-85</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造型美观大方，手感好，把手摇动任意一列均不会带动其它把手转动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摇手体总成</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滚珠轴承</w:t>
            </w:r>
          </w:p>
        </w:tc>
        <w:tc>
          <w:tcPr>
            <w:tcW w:w="1710"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制动</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装置</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边列锁定装具（总锁）</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808锁</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豪华型</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每列均装有制动装置，操作方便，制动可靠，使用存取安全，经久耐用。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中列制动装置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制动开关</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豪华型</w:t>
            </w:r>
          </w:p>
        </w:tc>
        <w:tc>
          <w:tcPr>
            <w:tcW w:w="2456" w:type="dxa"/>
            <w:vMerge w:val="continue"/>
            <w:vAlign w:val="center"/>
          </w:tcPr>
          <w:p>
            <w:pPr>
              <w:widowControl/>
              <w:autoSpaceDE/>
              <w:autoSpaceDN/>
              <w:adjustRightInd w:val="0"/>
              <w:snapToGrid w:val="0"/>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防护</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装置</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密封条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20mm</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磁性冰箱门吸条</w:t>
            </w:r>
          </w:p>
        </w:tc>
        <w:tc>
          <w:tcPr>
            <w:tcW w:w="2456" w:type="dxa"/>
            <w:vMerge w:val="restart"/>
            <w:vAlign w:val="center"/>
          </w:tcPr>
          <w:p>
            <w:pPr>
              <w:widowControl/>
              <w:autoSpaceDE/>
              <w:autoSpaceDN/>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每列的接触面均有缓冲及密封装置，具有良好的防震、防尘、防鼠、防潮、防火功能。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顶板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防尘板、防鼠板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防倾倒装置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热轧钢板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GB/T711</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表面</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处理</w:t>
            </w:r>
          </w:p>
        </w:tc>
        <w:tc>
          <w:tcPr>
            <w:tcW w:w="1276"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前处理药剂</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无磷脱脂剂</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碳酸钠、无机盐、表面活性剂等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陶化剂</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钛锆复合物、氟化物、络合剂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高压静电喷塑</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环氧型聚脂混合粉</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HG/T 2006</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纯水洗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≤10μS电导率</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bl>
    <w:p>
      <w:pPr>
        <w:spacing w:line="360" w:lineRule="auto"/>
        <w:outlineLvl w:val="2"/>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、传动机构</w:t>
      </w:r>
    </w:p>
    <w:p>
      <w:pPr>
        <w:spacing w:line="360" w:lineRule="auto"/>
        <w:ind w:firstLine="420" w:firstLineChars="200"/>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1、摇手：</w:t>
      </w:r>
      <w:r>
        <w:rPr>
          <w:rFonts w:hint="eastAsia" w:asciiTheme="majorEastAsia" w:hAnsiTheme="majorEastAsia" w:eastAsiaTheme="majorEastAsia" w:cstheme="majorEastAsia"/>
          <w:sz w:val="21"/>
          <w:szCs w:val="21"/>
          <w:lang w:val="en-US"/>
        </w:rPr>
        <w:t>T字或</w:t>
      </w:r>
      <w:r>
        <w:rPr>
          <w:rFonts w:hint="eastAsia" w:asciiTheme="majorEastAsia" w:hAnsiTheme="majorEastAsia" w:eastAsiaTheme="majorEastAsia" w:cstheme="majorEastAsia"/>
          <w:sz w:val="21"/>
          <w:szCs w:val="21"/>
        </w:rPr>
        <w:t>圆盘</w:t>
      </w:r>
      <w:r>
        <w:rPr>
          <w:rFonts w:hint="eastAsia" w:asciiTheme="majorEastAsia" w:hAnsiTheme="majorEastAsia" w:eastAsiaTheme="majorEastAsia" w:cstheme="majorEastAsia"/>
          <w:sz w:val="21"/>
          <w:szCs w:val="21"/>
          <w:lang w:val="en-US"/>
        </w:rPr>
        <w:t>式。</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 xml:space="preserve">2、传动系统：采用双向超越结构，其结构为棘轮式、脱挡，停用后摇把可自行停于垂直位置，可避免通道障碍，摇动任意一列不会带动其它把手。架体空间利用率≥82%。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3、传动主轴连接结构：采用机械镶嵌法内外六角轴套，各部件组合无需采用紧固件。</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rPr>
        <w:t>、防倾倒装置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采用燕尾式防倾倒装置，应整件无焊接组成。当受到倾覆时双向、双点受力，确保设备不倾倒。</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4</w:t>
      </w:r>
      <w:r>
        <w:rPr>
          <w:rFonts w:hint="eastAsia" w:asciiTheme="majorEastAsia" w:hAnsiTheme="majorEastAsia" w:eastAsiaTheme="majorEastAsia" w:cstheme="majorEastAsia"/>
          <w:b/>
          <w:bCs/>
          <w:sz w:val="21"/>
          <w:szCs w:val="21"/>
        </w:rPr>
        <w:t>、制动装置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1、每列均应有刹车制动装置，使之做到每一列均可锁定，查阅、存放档案资料时能确保人身安全，存取更安全。</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2、每一组合团体均应有总锁装置，使之做到每个组合团体都可锁定，门面装有扣拉式方形锁。</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3、每列均应采用防倾倒燕尾式部件，在每列嵌入对接式底框上装置安全性能高的防倾倒燕尾式部件，插入轨道两侧，提高稳定性和安全系数。</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4、密封装置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每列的接触面均应有缓冲及密封条，顶部应有防尘板，每列架体上方安装防尘压条，底部有防鼠板，合拢后无缝隙，具有良好的防尘、防光、防鼠、防潮等功能。</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5</w:t>
      </w:r>
      <w:r>
        <w:rPr>
          <w:rFonts w:hint="eastAsia" w:asciiTheme="majorEastAsia" w:hAnsiTheme="majorEastAsia" w:eastAsiaTheme="majorEastAsia" w:cstheme="majorEastAsia"/>
          <w:b/>
          <w:bCs/>
          <w:sz w:val="21"/>
          <w:szCs w:val="21"/>
        </w:rPr>
        <w:t>、表面处理标准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1、光泽测定：＞85%，符合GB/T 9754-2007（85</w:t>
      </w:r>
      <w:r>
        <w:rPr>
          <w:rFonts w:hint="eastAsia" w:asciiTheme="majorEastAsia" w:hAnsiTheme="majorEastAsia" w:eastAsiaTheme="majorEastAsia" w:cstheme="majorEastAsia"/>
          <w:sz w:val="21"/>
          <w:szCs w:val="21"/>
          <w:vertAlign w:val="superscript"/>
        </w:rPr>
        <w:t>。</w:t>
      </w:r>
      <w:r>
        <w:rPr>
          <w:rFonts w:hint="eastAsia" w:asciiTheme="majorEastAsia" w:hAnsiTheme="majorEastAsia" w:eastAsiaTheme="majorEastAsia" w:cstheme="majorEastAsia"/>
          <w:sz w:val="21"/>
          <w:szCs w:val="21"/>
        </w:rPr>
        <w:t>）标准；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2、耐冲击力：≥4N.M，符合GB/1732-1993标准；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3、涂膜厚度：60-70微米；</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4、涂膜附着力：划格法试验，100%不剥落，不低于2级标准，塑层防锈能力在30年以上，在温度-40℃-250℃，相对温度40%-90%，海拔高度不大于6000米，地震烈度不大于6级时，产品不生锈、不变形；</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5、耐水性：将涂层试片浸泡于90℃热水中，8小时无变化，符合GB/T 1733-1993标准；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6、柔韧性：≤2mm，杯突试验76mm，柔韧性符合GB/T1731-1993标准；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7、稳定性：按GB/T10357.4-2013标准进行。</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8、表面涂层理化性能：冲击强度：冲击高度40cm，应无剥落、裂纹、皱纹。</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6</w:t>
      </w:r>
      <w:r>
        <w:rPr>
          <w:rFonts w:hint="eastAsia" w:asciiTheme="majorEastAsia" w:hAnsiTheme="majorEastAsia" w:eastAsiaTheme="majorEastAsia" w:cstheme="majorEastAsia"/>
          <w:b/>
          <w:bCs/>
          <w:sz w:val="21"/>
          <w:szCs w:val="21"/>
        </w:rPr>
        <w:t>、制造要求</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1、凡需焊接的部位应焊接牢固，焊点均匀，焊痕高度≤1mm，焊点间距应控制在100mm以内，焊痕表面波纹平整，不得出现焊焦、焊穿等现象。</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2、冲压件必须平整无毛刺，不允许有裂痕，冲压尺寸的误差应控制在±2.0mm之内。</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3、折弯必须到位，以确保工件折弯所需角度，其邻边垂直度、平行度控制在≤1.5mm内。</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4、各零件、组合件表面应光滑平整，不得有尖角凸起；各零件、组合件之间能保持互换性。所有标准件及紧固件均需氧化处理。</w:t>
      </w:r>
    </w:p>
    <w:p>
      <w:pPr>
        <w:rPr>
          <w:lang w:val="en-US"/>
        </w:rPr>
      </w:pPr>
      <w:r>
        <w:rPr>
          <w:lang w:val="en-US"/>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50"/>
        <w:textAlignment w:val="auto"/>
        <w:rPr>
          <w:rFonts w:hint="eastAsia" w:ascii="宋体" w:hAnsi="宋体" w:eastAsia="宋体" w:cs="宋体"/>
          <w:b/>
          <w:color w:val="000000"/>
          <w:kern w:val="0"/>
          <w:sz w:val="21"/>
          <w:szCs w:val="21"/>
          <w:lang w:val="en-US" w:eastAsia="zh-CN"/>
        </w:rPr>
      </w:pPr>
    </w:p>
    <w:p>
      <w:pPr>
        <w:spacing w:line="320" w:lineRule="exact"/>
        <w:contextualSpacing/>
        <w:jc w:val="left"/>
        <w:rPr>
          <w:rFonts w:hint="eastAsia" w:ascii="宋体" w:hAnsi="宋体" w:eastAsia="宋体" w:cs="宋体"/>
          <w:b/>
          <w:color w:val="000000"/>
          <w:kern w:val="0"/>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w:t>
      </w:r>
      <w:r>
        <w:rPr>
          <w:rFonts w:hint="eastAsia" w:ascii="宋体" w:hAnsi="宋体" w:eastAsia="宋体" w:cs="宋体"/>
          <w:b/>
          <w:color w:val="000000"/>
          <w:kern w:val="0"/>
          <w:sz w:val="21"/>
          <w:szCs w:val="21"/>
        </w:rPr>
        <w:t>凡有下列之一者，报价文件视为无效</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1、未密封；</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2、无单位盖章并无法定代表人或法定代表人授权的代理人签字或盖章的；</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3、未响应</w:t>
      </w:r>
      <w:r>
        <w:rPr>
          <w:rFonts w:hint="eastAsia" w:ascii="宋体" w:hAnsi="宋体" w:eastAsia="宋体" w:cs="宋体"/>
          <w:color w:val="000000"/>
          <w:kern w:val="0"/>
          <w:sz w:val="21"/>
          <w:szCs w:val="21"/>
          <w:lang w:val="en-US" w:eastAsia="zh-CN"/>
        </w:rPr>
        <w:t>采购</w:t>
      </w:r>
      <w:r>
        <w:rPr>
          <w:rFonts w:hint="eastAsia" w:ascii="宋体" w:hAnsi="宋体" w:eastAsia="宋体" w:cs="宋体"/>
          <w:color w:val="000000"/>
          <w:kern w:val="0"/>
          <w:sz w:val="21"/>
          <w:szCs w:val="21"/>
        </w:rPr>
        <w:t>文件要求或未按</w:t>
      </w:r>
      <w:r>
        <w:rPr>
          <w:rFonts w:hint="eastAsia" w:ascii="宋体" w:hAnsi="宋体" w:eastAsia="宋体" w:cs="宋体"/>
          <w:color w:val="000000"/>
          <w:kern w:val="0"/>
          <w:sz w:val="21"/>
          <w:szCs w:val="21"/>
          <w:lang w:val="en-US" w:eastAsia="zh-CN"/>
        </w:rPr>
        <w:t>采购</w:t>
      </w:r>
      <w:r>
        <w:rPr>
          <w:rFonts w:hint="eastAsia" w:ascii="宋体" w:hAnsi="宋体" w:eastAsia="宋体" w:cs="宋体"/>
          <w:color w:val="000000"/>
          <w:kern w:val="0"/>
          <w:sz w:val="21"/>
          <w:szCs w:val="21"/>
        </w:rPr>
        <w:t>文件中的要求报价；</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4、内容不全或数据模糊、辨认不清；</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5、逾期送达。</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rPr>
          <w:rFonts w:hint="eastAsia" w:ascii="宋体" w:hAnsi="宋体" w:eastAsia="宋体" w:cs="宋体"/>
          <w:b/>
          <w:sz w:val="28"/>
          <w:szCs w:val="28"/>
        </w:rPr>
      </w:pPr>
      <w:r>
        <w:rPr>
          <w:rFonts w:hint="eastAsia" w:ascii="宋体" w:hAnsi="宋体" w:eastAsia="宋体" w:cs="宋体"/>
          <w:b/>
          <w:sz w:val="28"/>
          <w:szCs w:val="28"/>
        </w:rPr>
        <w:t xml:space="preserve"> 第二部分：通用合同条款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9"/>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110"/>
        <w:gridCol w:w="426"/>
        <w:gridCol w:w="531"/>
        <w:gridCol w:w="993"/>
        <w:gridCol w:w="993"/>
        <w:gridCol w:w="152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12"/>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10个工作日内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u w:val="single"/>
              </w:rPr>
              <w:t xml:space="preserve"> 13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15"/>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合同签订生效之日起</w:t>
      </w:r>
      <w:r>
        <w:rPr>
          <w:rFonts w:hint="eastAsia" w:ascii="宋体" w:hAnsi="宋体" w:cs="宋体"/>
          <w:b/>
          <w:bCs/>
          <w:color w:val="0000FF"/>
          <w:szCs w:val="21"/>
          <w:highlight w:val="yellow"/>
          <w:lang w:val="en-US" w:eastAsia="zh-CN"/>
        </w:rPr>
        <w:t>10</w:t>
      </w:r>
      <w:r>
        <w:rPr>
          <w:rFonts w:hint="eastAsia" w:ascii="宋体" w:hAnsi="宋体" w:cs="宋体"/>
          <w:b/>
          <w:bCs/>
          <w:color w:val="0000FF"/>
          <w:szCs w:val="21"/>
          <w:highlight w:val="yellow"/>
        </w:rPr>
        <w:t>个工作日内</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方指定地点，待</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方将所有设备安装完毕，经</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方验收及试运行合格之后，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w:t>
      </w:r>
      <w:r>
        <w:rPr>
          <w:rFonts w:hint="eastAsia" w:ascii="宋体" w:hAnsi="宋体" w:cs="宋体"/>
          <w:b/>
          <w:bCs/>
          <w:color w:val="0000FF"/>
          <w:szCs w:val="21"/>
          <w:highlight w:val="yellow"/>
          <w:lang w:val="en-US" w:eastAsia="zh-CN"/>
        </w:rPr>
        <w:t>9</w:t>
      </w:r>
      <w:r>
        <w:rPr>
          <w:rFonts w:hint="eastAsia" w:ascii="宋体" w:hAnsi="宋体" w:cs="宋体"/>
          <w:b/>
          <w:bCs/>
          <w:color w:val="0000FF"/>
          <w:szCs w:val="21"/>
          <w:highlight w:val="yellow"/>
        </w:rPr>
        <w:t>7%给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方，余下未支付的金额作为质量保证金</w:t>
      </w:r>
      <w:r>
        <w:rPr>
          <w:rFonts w:hint="eastAsia" w:ascii="宋体" w:hAnsi="宋体" w:eastAsia="宋体" w:cs="宋体"/>
          <w:b/>
          <w:bCs/>
          <w:color w:val="0000FF"/>
          <w:sz w:val="21"/>
          <w:szCs w:val="21"/>
          <w:highlight w:val="yellow"/>
        </w:rPr>
        <w:t>。</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15"/>
        <w:ind w:firstLine="0" w:firstLineChars="0"/>
        <w:jc w:val="left"/>
        <w:rPr>
          <w:rFonts w:hint="eastAsia" w:ascii="宋体" w:hAnsi="宋体" w:eastAsia="宋体" w:cs="宋体"/>
          <w:b/>
          <w:sz w:val="21"/>
          <w:szCs w:val="21"/>
        </w:rPr>
      </w:pPr>
    </w:p>
    <w:p>
      <w:pPr>
        <w:pStyle w:val="15"/>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15"/>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9"/>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9"/>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9"/>
              <w:tblW w:w="0" w:type="auto"/>
              <w:tblInd w:w="0" w:type="dxa"/>
              <w:tblLayout w:type="autofit"/>
              <w:tblCellMar>
                <w:top w:w="0" w:type="dxa"/>
                <w:left w:w="108" w:type="dxa"/>
                <w:bottom w:w="0" w:type="dxa"/>
                <w:right w:w="108" w:type="dxa"/>
              </w:tblCellMar>
            </w:tblPr>
            <w:tblGrid>
              <w:gridCol w:w="3895"/>
            </w:tblGrid>
            <w:tr>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widowControl/>
        <w:ind w:firstLine="630" w:firstLineChars="300"/>
        <w:rPr>
          <w:rFonts w:ascii="楷体" w:hAnsi="楷体" w:eastAsia="楷体"/>
          <w:szCs w:val="21"/>
        </w:rPr>
      </w:pPr>
    </w:p>
    <w:p>
      <w:pPr>
        <w:rPr>
          <w:rFonts w:ascii="楷体" w:hAnsi="楷体" w:eastAsia="楷体"/>
          <w:b/>
          <w:szCs w:val="21"/>
        </w:rPr>
      </w:pPr>
    </w:p>
    <w:p>
      <w:pPr>
        <w:rPr>
          <w:rFonts w:ascii="楷体" w:hAnsi="楷体" w:eastAsia="楷体"/>
          <w:szCs w:val="21"/>
        </w:rPr>
      </w:pPr>
    </w:p>
    <w:p>
      <w:pPr>
        <w:pStyle w:val="4"/>
        <w:spacing w:line="360" w:lineRule="auto"/>
        <w:rPr>
          <w:rFonts w:hint="eastAsia" w:ascii="宋体" w:hAnsi="宋体" w:cs="宋体"/>
          <w:sz w:val="44"/>
          <w:szCs w:val="44"/>
          <w:highlight w:val="none"/>
          <w:lang w:val="en-US" w:eastAsia="zh-CN"/>
        </w:rPr>
      </w:pPr>
    </w:p>
    <w:p>
      <w:pPr>
        <w:pStyle w:val="4"/>
        <w:spacing w:line="360" w:lineRule="auto"/>
        <w:ind w:firstLine="2209" w:firstLineChars="500"/>
        <w:rPr>
          <w:rFonts w:hint="eastAsia" w:ascii="宋体" w:hAnsi="宋体" w:cs="宋体"/>
          <w:sz w:val="44"/>
          <w:szCs w:val="44"/>
          <w:highlight w:val="none"/>
        </w:rPr>
      </w:pPr>
      <w:r>
        <w:rPr>
          <w:rFonts w:hint="eastAsia" w:ascii="宋体" w:hAnsi="宋体" w:cs="宋体"/>
          <w:sz w:val="44"/>
          <w:szCs w:val="44"/>
          <w:highlight w:val="none"/>
          <w:lang w:val="en-US" w:eastAsia="zh-CN"/>
        </w:rPr>
        <w:t xml:space="preserve">第三部分 </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360" w:firstLineChars="150"/>
        <w:rPr>
          <w:bCs/>
          <w:color w:val="auto"/>
          <w:sz w:val="24"/>
          <w:highlight w:val="none"/>
        </w:rPr>
      </w:pPr>
      <w:r>
        <w:rPr>
          <w:rFonts w:hAnsi="宋体"/>
          <w:bCs/>
          <w:color w:val="auto"/>
          <w:sz w:val="24"/>
          <w:highlight w:val="none"/>
        </w:rPr>
        <w:t>项目名称：</w:t>
      </w:r>
    </w:p>
    <w:p>
      <w:pPr>
        <w:snapToGrid w:val="0"/>
        <w:spacing w:before="120" w:beforeLines="50" w:after="50"/>
        <w:ind w:firstLine="360" w:firstLineChars="150"/>
        <w:rPr>
          <w:bCs/>
          <w:color w:val="auto"/>
          <w:sz w:val="24"/>
          <w:szCs w:val="20"/>
          <w:highlight w:val="none"/>
        </w:rPr>
      </w:pPr>
    </w:p>
    <w:p>
      <w:pPr>
        <w:snapToGrid w:val="0"/>
        <w:spacing w:before="120" w:beforeLines="50" w:after="50"/>
        <w:ind w:firstLine="360" w:firstLineChars="150"/>
        <w:rPr>
          <w:bCs/>
          <w:color w:val="auto"/>
          <w:sz w:val="24"/>
          <w:szCs w:val="20"/>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6"/>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6"/>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6"/>
        <w:tabs>
          <w:tab w:val="left" w:pos="8640"/>
        </w:tabs>
        <w:spacing w:line="360" w:lineRule="auto"/>
        <w:rPr>
          <w:rFonts w:hint="eastAsia" w:hAnsi="宋体"/>
          <w:color w:val="auto"/>
          <w:highlight w:val="none"/>
        </w:rPr>
      </w:pPr>
      <w:r>
        <w:rPr>
          <w:rFonts w:hint="eastAsia" w:hAnsi="宋体"/>
          <w:color w:val="auto"/>
          <w:highlight w:val="none"/>
        </w:rPr>
        <w:t>一、</w:t>
      </w:r>
      <w:r>
        <w:rPr>
          <w:rFonts w:hint="eastAsia" w:hAnsi="宋体"/>
          <w:color w:val="auto"/>
          <w:highlight w:val="none"/>
          <w:lang w:eastAsia="zh-CN"/>
        </w:rPr>
        <w:t>价格</w:t>
      </w:r>
      <w:r>
        <w:rPr>
          <w:rFonts w:hint="eastAsia" w:hAnsi="宋体"/>
          <w:color w:val="auto"/>
          <w:highlight w:val="none"/>
        </w:rPr>
        <w:t>文件</w:t>
      </w:r>
    </w:p>
    <w:p>
      <w:pPr>
        <w:pStyle w:val="6"/>
        <w:spacing w:line="360" w:lineRule="auto"/>
        <w:rPr>
          <w:rFonts w:hint="eastAsia" w:hAnsi="宋体"/>
          <w:color w:val="auto"/>
          <w:highlight w:val="none"/>
          <w:lang w:eastAsia="zh-CN"/>
        </w:rPr>
      </w:pPr>
      <w:r>
        <w:rPr>
          <w:rFonts w:hint="eastAsia" w:hAnsi="宋体"/>
          <w:color w:val="auto"/>
          <w:highlight w:val="none"/>
        </w:rPr>
        <w:t>二、商务</w:t>
      </w:r>
      <w:r>
        <w:rPr>
          <w:rFonts w:hint="eastAsia" w:hAnsi="宋体"/>
          <w:color w:val="auto"/>
          <w:highlight w:val="none"/>
          <w:lang w:eastAsia="zh-CN"/>
        </w:rPr>
        <w:t>文件</w:t>
      </w:r>
    </w:p>
    <w:p>
      <w:pPr>
        <w:pStyle w:val="6"/>
        <w:spacing w:line="360" w:lineRule="auto"/>
        <w:rPr>
          <w:rFonts w:hint="eastAsia" w:hAnsi="宋体"/>
          <w:color w:val="auto"/>
          <w:highlight w:val="none"/>
        </w:rPr>
      </w:pPr>
      <w:r>
        <w:rPr>
          <w:rFonts w:hint="eastAsia" w:hAnsi="宋体"/>
          <w:color w:val="auto"/>
          <w:highlight w:val="none"/>
          <w:lang w:eastAsia="zh-CN"/>
        </w:rPr>
        <w:t>三、</w:t>
      </w:r>
      <w:r>
        <w:rPr>
          <w:rFonts w:hint="eastAsia" w:hAnsi="宋体"/>
          <w:color w:val="auto"/>
          <w:highlight w:val="none"/>
        </w:rPr>
        <w:t>技术文件</w:t>
      </w: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3"/>
        <w:numPr>
          <w:ilvl w:val="0"/>
          <w:numId w:val="0"/>
        </w:numPr>
        <w:spacing w:before="120" w:beforeLines="50" w:after="120" w:afterLines="50" w:line="360" w:lineRule="auto"/>
        <w:ind w:leftChars="0"/>
        <w:jc w:val="both"/>
        <w:rPr>
          <w:rFonts w:hAnsi="宋体"/>
          <w:color w:val="auto"/>
          <w:sz w:val="21"/>
          <w:szCs w:val="21"/>
          <w:highlight w:val="none"/>
        </w:rPr>
      </w:pPr>
    </w:p>
    <w:p>
      <w:pPr>
        <w:snapToGrid w:val="0"/>
        <w:spacing w:before="120" w:beforeLines="50" w:after="50" w:line="400" w:lineRule="exact"/>
        <w:rPr>
          <w:bCs/>
          <w:color w:val="auto"/>
          <w:sz w:val="32"/>
          <w:szCs w:val="20"/>
          <w:highlight w:val="none"/>
        </w:rPr>
      </w:pPr>
      <w:r>
        <w:rPr>
          <w:color w:val="auto"/>
          <w:sz w:val="24"/>
          <w:highlight w:val="none"/>
        </w:rPr>
        <w:t xml:space="preserve">                                                    </w:t>
      </w:r>
      <w:r>
        <w:rPr>
          <w:rFonts w:hAnsi="宋体"/>
          <w:bCs/>
          <w:color w:val="auto"/>
          <w:highlight w:val="none"/>
        </w:rPr>
        <w:t>正本</w:t>
      </w:r>
      <w:r>
        <w:rPr>
          <w:bCs/>
          <w:color w:val="auto"/>
          <w:highlight w:val="none"/>
        </w:rPr>
        <w:t>/</w:t>
      </w:r>
      <w:r>
        <w:rPr>
          <w:rFonts w:hAnsi="宋体"/>
          <w:bCs/>
          <w:color w:val="auto"/>
          <w:highlight w:val="none"/>
        </w:rPr>
        <w:t>或副本</w:t>
      </w:r>
    </w:p>
    <w:p>
      <w:pPr>
        <w:snapToGrid w:val="0"/>
        <w:spacing w:before="120" w:beforeLines="50" w:after="50" w:line="400" w:lineRule="exact"/>
        <w:jc w:val="center"/>
        <w:rPr>
          <w:bCs/>
          <w:color w:val="auto"/>
          <w:sz w:val="24"/>
          <w:szCs w:val="20"/>
          <w:highlight w:val="none"/>
        </w:rPr>
      </w:pPr>
    </w:p>
    <w:p>
      <w:pPr>
        <w:pStyle w:val="6"/>
        <w:spacing w:line="500" w:lineRule="exact"/>
        <w:jc w:val="center"/>
        <w:rPr>
          <w:rFonts w:ascii="Times New Roman"/>
          <w:b/>
          <w:bCs/>
          <w:color w:val="auto"/>
          <w:sz w:val="30"/>
          <w:szCs w:val="30"/>
          <w:highlight w:val="none"/>
        </w:rPr>
      </w:pPr>
      <w:r>
        <w:rPr>
          <w:rFonts w:hint="eastAsia" w:ascii="Times New Roman"/>
          <w:b/>
          <w:bCs/>
          <w:color w:val="auto"/>
          <w:sz w:val="30"/>
          <w:szCs w:val="30"/>
          <w:highlight w:val="none"/>
        </w:rPr>
        <w:t>一</w:t>
      </w:r>
      <w:r>
        <w:rPr>
          <w:rFonts w:hint="eastAsia" w:ascii="Times New Roman"/>
          <w:b/>
          <w:bCs/>
          <w:color w:val="auto"/>
          <w:sz w:val="30"/>
          <w:szCs w:val="30"/>
          <w:highlight w:val="none"/>
          <w:lang w:eastAsia="zh-CN"/>
        </w:rPr>
        <w:t>、价格</w:t>
      </w:r>
      <w:r>
        <w:rPr>
          <w:rFonts w:ascii="Times New Roman"/>
          <w:b/>
          <w:bCs/>
          <w:color w:val="auto"/>
          <w:sz w:val="30"/>
          <w:szCs w:val="30"/>
          <w:highlight w:val="none"/>
        </w:rPr>
        <w:t>文件</w:t>
      </w:r>
    </w:p>
    <w:p>
      <w:pPr>
        <w:snapToGrid w:val="0"/>
        <w:spacing w:before="120" w:beforeLines="50" w:after="50" w:line="400" w:lineRule="exact"/>
        <w:rPr>
          <w:bCs/>
          <w:color w:val="auto"/>
          <w:sz w:val="24"/>
          <w:szCs w:val="20"/>
          <w:highlight w:val="none"/>
        </w:rPr>
      </w:pPr>
    </w:p>
    <w:p>
      <w:pPr>
        <w:snapToGrid w:val="0"/>
        <w:spacing w:before="120" w:beforeLines="50" w:after="50" w:line="400" w:lineRule="exact"/>
        <w:ind w:firstLine="600" w:firstLineChars="250"/>
        <w:rPr>
          <w:bCs/>
          <w:color w:val="auto"/>
          <w:sz w:val="24"/>
          <w:szCs w:val="20"/>
          <w:highlight w:val="none"/>
        </w:rPr>
      </w:pPr>
      <w:r>
        <w:rPr>
          <w:rFonts w:hAnsi="宋体"/>
          <w:bCs/>
          <w:color w:val="auto"/>
          <w:sz w:val="24"/>
          <w:highlight w:val="none"/>
        </w:rPr>
        <w:t>项目名称：</w:t>
      </w:r>
      <w:r>
        <w:rPr>
          <w:bCs/>
          <w:color w:val="auto"/>
          <w:sz w:val="24"/>
          <w:highlight w:val="none"/>
        </w:rPr>
        <w:t xml:space="preserve"> </w:t>
      </w:r>
    </w:p>
    <w:p>
      <w:pPr>
        <w:snapToGrid w:val="0"/>
        <w:spacing w:before="120" w:beforeLines="50" w:after="50" w:line="400" w:lineRule="exact"/>
        <w:ind w:firstLine="360" w:firstLineChars="150"/>
        <w:rPr>
          <w:bCs/>
          <w:color w:val="auto"/>
          <w:sz w:val="24"/>
          <w:szCs w:val="20"/>
          <w:highlight w:val="none"/>
        </w:rPr>
      </w:pPr>
      <w:r>
        <w:rPr>
          <w:bCs/>
          <w:color w:val="auto"/>
          <w:sz w:val="24"/>
          <w:highlight w:val="none"/>
        </w:rPr>
        <w:t xml:space="preserve"> </w:t>
      </w:r>
    </w:p>
    <w:p>
      <w:pPr>
        <w:pStyle w:val="5"/>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5"/>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5"/>
        <w:snapToGrid w:val="0"/>
        <w:spacing w:before="50" w:after="50" w:line="400" w:lineRule="exact"/>
        <w:ind w:firstLine="960" w:firstLineChars="400"/>
        <w:rPr>
          <w:bCs/>
          <w:color w:val="auto"/>
          <w:sz w:val="24"/>
          <w:szCs w:val="24"/>
          <w:highlight w:val="none"/>
        </w:rPr>
      </w:pPr>
    </w:p>
    <w:p>
      <w:pPr>
        <w:snapToGrid w:val="0"/>
        <w:spacing w:before="120" w:beforeLines="50" w:after="50" w:line="400" w:lineRule="exact"/>
        <w:jc w:val="center"/>
        <w:rPr>
          <w:color w:val="auto"/>
          <w:sz w:val="24"/>
          <w:highlight w:val="none"/>
        </w:rPr>
      </w:pP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p>
    <w:p>
      <w:pPr>
        <w:snapToGrid w:val="0"/>
        <w:spacing w:before="120" w:beforeLines="50" w:after="50" w:line="400" w:lineRule="exact"/>
        <w:rPr>
          <w:color w:val="auto"/>
          <w:sz w:val="30"/>
          <w:szCs w:val="20"/>
          <w:highlight w:val="none"/>
        </w:rPr>
      </w:pPr>
    </w:p>
    <w:p>
      <w:pPr>
        <w:snapToGrid w:val="0"/>
        <w:spacing w:before="120" w:beforeLines="50" w:after="50"/>
        <w:rPr>
          <w:b/>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500" w:lineRule="exact"/>
        <w:ind w:firstLine="420" w:firstLineChars="200"/>
        <w:jc w:val="center"/>
        <w:rPr>
          <w:b/>
          <w:sz w:val="36"/>
          <w:szCs w:val="36"/>
          <w:highlight w:val="none"/>
        </w:rPr>
      </w:pPr>
      <w:r>
        <w:rPr>
          <w:rFonts w:hint="eastAsia" w:ascii="宋体" w:hAnsi="宋体" w:cs="宋体"/>
          <w:highlight w:val="none"/>
          <w:lang w:val="en-US" w:eastAsia="zh-CN"/>
        </w:rPr>
        <w:t xml:space="preserve">  </w:t>
      </w:r>
    </w:p>
    <w:p>
      <w:pPr>
        <w:spacing w:line="360" w:lineRule="exact"/>
        <w:ind w:firstLine="640" w:firstLineChars="200"/>
        <w:rPr>
          <w:sz w:val="32"/>
          <w:szCs w:val="32"/>
          <w:highlight w:val="none"/>
        </w:rPr>
      </w:pPr>
    </w:p>
    <w:p>
      <w:pPr>
        <w:pStyle w:val="24"/>
        <w:spacing w:line="360" w:lineRule="auto"/>
        <w:jc w:val="left"/>
        <w:outlineLvl w:val="0"/>
        <w:rPr>
          <w:rFonts w:hint="default" w:ascii="Times New Roman" w:hAnsi="Times New Roman" w:eastAsia="宋体" w:cs="Times New Roman"/>
          <w:b/>
          <w:sz w:val="24"/>
          <w:highlight w:val="none"/>
          <w:lang w:eastAsia="zh-CN"/>
        </w:rPr>
      </w:pPr>
      <w:bookmarkStart w:id="0" w:name="_Toc9543"/>
      <w:bookmarkStart w:id="1" w:name="_Toc4325"/>
      <w:bookmarkStart w:id="2" w:name="_Toc30789"/>
      <w:r>
        <w:rPr>
          <w:rFonts w:hint="default" w:ascii="Times New Roman" w:hAnsi="Times New Roman" w:eastAsia="宋体" w:cs="Times New Roman"/>
          <w:b/>
          <w:sz w:val="24"/>
          <w:highlight w:val="none"/>
          <w:lang w:eastAsia="zh-CN"/>
        </w:rPr>
        <w:t>（</w:t>
      </w:r>
      <w:r>
        <w:rPr>
          <w:rFonts w:hint="default" w:ascii="Times New Roman" w:hAnsi="Times New Roman" w:eastAsia="宋体" w:cs="Times New Roman"/>
          <w:b/>
          <w:sz w:val="24"/>
          <w:highlight w:val="none"/>
          <w:lang w:val="en-US" w:eastAsia="zh-CN"/>
        </w:rPr>
        <w:t>1</w:t>
      </w:r>
      <w:r>
        <w:rPr>
          <w:rFonts w:hint="default" w:ascii="Times New Roman" w:hAnsi="Times New Roman" w:eastAsia="宋体" w:cs="Times New Roman"/>
          <w:b/>
          <w:sz w:val="24"/>
          <w:highlight w:val="none"/>
          <w:lang w:eastAsia="zh-CN"/>
        </w:rPr>
        <w:t>）</w:t>
      </w:r>
      <w:r>
        <w:rPr>
          <w:rFonts w:hint="eastAsia" w:ascii="Times New Roman" w:hAnsi="Times New Roman" w:eastAsia="宋体" w:cs="Times New Roman"/>
          <w:b/>
          <w:sz w:val="24"/>
          <w:highlight w:val="none"/>
          <w:lang w:eastAsia="zh-CN"/>
        </w:rPr>
        <w:t>竞标</w:t>
      </w:r>
      <w:bookmarkEnd w:id="0"/>
      <w:bookmarkEnd w:id="1"/>
      <w:bookmarkEnd w:id="2"/>
      <w:r>
        <w:rPr>
          <w:rFonts w:hint="default" w:ascii="Times New Roman" w:hAnsi="Times New Roman" w:eastAsia="宋体" w:cs="Times New Roman"/>
          <w:b/>
          <w:sz w:val="24"/>
          <w:highlight w:val="none"/>
          <w:lang w:eastAsia="zh-CN"/>
        </w:rPr>
        <w:t>报价明细表</w:t>
      </w:r>
    </w:p>
    <w:p>
      <w:pPr>
        <w:rPr>
          <w:rFonts w:hint="eastAsia" w:ascii="宋体" w:hAnsi="宋体" w:eastAsia="宋体" w:cs="宋体"/>
        </w:rPr>
      </w:pPr>
    </w:p>
    <w:p>
      <w:pPr>
        <w:spacing w:line="440" w:lineRule="exact"/>
        <w:jc w:val="center"/>
        <w:rPr>
          <w:rFonts w:hint="eastAsia" w:ascii="宋体" w:hAnsi="宋体" w:eastAsia="宋体" w:cs="宋体"/>
          <w:b/>
          <w:bCs/>
          <w:kern w:val="44"/>
          <w:sz w:val="28"/>
          <w:szCs w:val="28"/>
          <w:lang w:val="zh-CN"/>
        </w:rPr>
      </w:pPr>
      <w:r>
        <w:rPr>
          <w:rFonts w:hint="eastAsia" w:ascii="宋体" w:hAnsi="宋体" w:eastAsia="宋体" w:cs="宋体"/>
        </w:rPr>
        <w:t xml:space="preserve">  </w:t>
      </w:r>
      <w:r>
        <w:rPr>
          <w:rFonts w:hint="eastAsia" w:ascii="宋体" w:hAnsi="宋体" w:eastAsia="宋体" w:cs="宋体"/>
          <w:b/>
          <w:bCs/>
          <w:iCs/>
          <w:kern w:val="0"/>
          <w:sz w:val="36"/>
          <w:szCs w:val="36"/>
        </w:rPr>
        <w:t>报价表</w:t>
      </w:r>
    </w:p>
    <w:p>
      <w:pPr>
        <w:spacing w:line="440" w:lineRule="exact"/>
        <w:jc w:val="center"/>
        <w:rPr>
          <w:rFonts w:hint="eastAsia" w:ascii="宋体" w:hAnsi="宋体" w:eastAsia="宋体" w:cs="宋体"/>
          <w:lang w:val="zh-CN" w:eastAsia="zh-CN"/>
        </w:rPr>
      </w:pPr>
    </w:p>
    <w:tbl>
      <w:tblPr>
        <w:tblStyle w:val="9"/>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7"/>
        <w:gridCol w:w="1403"/>
        <w:gridCol w:w="705"/>
        <w:gridCol w:w="857"/>
        <w:gridCol w:w="2933"/>
        <w:gridCol w:w="1145"/>
        <w:gridCol w:w="113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pacing w:val="-20"/>
                <w:sz w:val="24"/>
                <w:szCs w:val="24"/>
              </w:rPr>
            </w:pPr>
            <w:r>
              <w:rPr>
                <w:rFonts w:hint="eastAsia" w:hAnsi="宋体" w:cs="宋体"/>
                <w:b w:val="0"/>
                <w:bCs w:val="0"/>
                <w:color w:val="auto"/>
                <w:spacing w:val="-20"/>
                <w:sz w:val="24"/>
                <w:szCs w:val="24"/>
              </w:rPr>
              <w:t>序号</w:t>
            </w:r>
          </w:p>
        </w:tc>
        <w:tc>
          <w:tcPr>
            <w:tcW w:w="76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货物</w:t>
            </w:r>
          </w:p>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名称</w:t>
            </w:r>
          </w:p>
        </w:tc>
        <w:tc>
          <w:tcPr>
            <w:tcW w:w="140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品牌、型号规格</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数量①</w:t>
            </w:r>
          </w:p>
        </w:tc>
        <w:tc>
          <w:tcPr>
            <w:tcW w:w="85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单位</w:t>
            </w:r>
          </w:p>
        </w:tc>
        <w:tc>
          <w:tcPr>
            <w:tcW w:w="293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单项合价</w:t>
            </w:r>
          </w:p>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（元）</w:t>
            </w:r>
          </w:p>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4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1</w:t>
            </w:r>
          </w:p>
        </w:tc>
        <w:tc>
          <w:tcPr>
            <w:tcW w:w="767" w:type="dxa"/>
            <w:tcBorders>
              <w:top w:val="single" w:color="auto" w:sz="4" w:space="0"/>
              <w:left w:val="single" w:color="auto" w:sz="4" w:space="0"/>
              <w:right w:val="single" w:color="auto" w:sz="4" w:space="0"/>
            </w:tcBorders>
            <w:vAlign w:val="center"/>
          </w:tcPr>
          <w:p>
            <w:pPr>
              <w:adjustRightInd w:val="0"/>
              <w:snapToGrid w:val="0"/>
              <w:rPr>
                <w:rFonts w:ascii="宋体" w:hAnsi="宋体" w:cs="宋体"/>
                <w:b w:val="0"/>
                <w:bCs w:val="0"/>
                <w:color w:val="auto"/>
                <w:sz w:val="24"/>
              </w:rPr>
            </w:pPr>
            <w:r>
              <w:rPr>
                <w:rFonts w:hint="eastAsia" w:ascii="宋体" w:hAnsi="宋体" w:cs="宋体"/>
                <w:b w:val="0"/>
                <w:bCs w:val="0"/>
                <w:color w:val="auto"/>
                <w:sz w:val="24"/>
                <w:lang w:eastAsia="zh-CN"/>
              </w:rPr>
              <w:t>档案</w:t>
            </w:r>
            <w:r>
              <w:rPr>
                <w:rFonts w:hint="eastAsia" w:ascii="宋体" w:hAnsi="宋体" w:cs="宋体"/>
                <w:b w:val="0"/>
                <w:bCs w:val="0"/>
                <w:color w:val="auto"/>
                <w:sz w:val="24"/>
              </w:rPr>
              <w:t>存储架</w:t>
            </w:r>
          </w:p>
        </w:tc>
        <w:tc>
          <w:tcPr>
            <w:tcW w:w="1403" w:type="dxa"/>
            <w:tcBorders>
              <w:top w:val="single" w:color="auto" w:sz="4" w:space="0"/>
              <w:left w:val="single" w:color="auto" w:sz="4" w:space="0"/>
              <w:right w:val="single" w:color="auto" w:sz="4" w:space="0"/>
            </w:tcBorders>
            <w:vAlign w:val="center"/>
          </w:tcPr>
          <w:p>
            <w:pPr>
              <w:pStyle w:val="19"/>
              <w:adjustRightInd w:val="0"/>
              <w:snapToGrid w:val="0"/>
              <w:rPr>
                <w:rFonts w:ascii="宋体" w:hAnsi="宋体" w:cs="宋体"/>
              </w:rPr>
            </w:pPr>
            <w:r>
              <w:rPr>
                <w:rFonts w:hint="eastAsia" w:ascii="宋体" w:hAnsi="宋体" w:cs="宋体"/>
                <w:b/>
                <w:bCs w:val="0"/>
              </w:rPr>
              <w:t>规格：</w:t>
            </w:r>
          </w:p>
          <w:p>
            <w:pPr>
              <w:pStyle w:val="19"/>
              <w:adjustRightInd w:val="0"/>
              <w:snapToGrid w:val="0"/>
              <w:rPr>
                <w:rFonts w:ascii="宋体" w:hAnsi="宋体" w:cs="宋体"/>
                <w:b/>
                <w:color w:val="FF0000"/>
              </w:rPr>
            </w:pPr>
            <w:r>
              <w:rPr>
                <w:rFonts w:ascii="Tahoma" w:hAnsi="Tahoma" w:eastAsia="Tahoma" w:cs="Tahoma"/>
                <w:i w:val="0"/>
                <w:iCs w:val="0"/>
                <w:caps w:val="0"/>
                <w:color w:val="333333"/>
                <w:spacing w:val="0"/>
                <w:sz w:val="21"/>
                <w:szCs w:val="21"/>
                <w:shd w:val="clear" w:fill="FFFFFF"/>
              </w:rPr>
              <w:t>长5米*高2.5米*10列=125平方米</w:t>
            </w:r>
          </w:p>
          <w:p>
            <w:pPr>
              <w:pStyle w:val="19"/>
              <w:adjustRightInd w:val="0"/>
              <w:snapToGrid w:val="0"/>
              <w:rPr>
                <w:rFonts w:ascii="宋体" w:hAnsi="宋体" w:cs="宋体"/>
                <w:b w:val="0"/>
                <w:bCs w:val="0"/>
                <w:color w:val="auto"/>
              </w:rPr>
            </w:pPr>
            <w:r>
              <w:rPr>
                <w:rFonts w:hint="eastAsia" w:ascii="宋体" w:hAnsi="宋体" w:cs="宋体"/>
                <w:b/>
                <w:color w:val="FF0000"/>
              </w:rPr>
              <w:t>双柱双面6层</w:t>
            </w:r>
          </w:p>
        </w:tc>
        <w:tc>
          <w:tcPr>
            <w:tcW w:w="705" w:type="dxa"/>
            <w:tcBorders>
              <w:top w:val="single" w:color="auto" w:sz="4" w:space="0"/>
              <w:left w:val="single" w:color="auto" w:sz="4" w:space="0"/>
              <w:right w:val="single" w:color="auto" w:sz="4" w:space="0"/>
            </w:tcBorders>
            <w:vAlign w:val="center"/>
          </w:tcPr>
          <w:p>
            <w:pPr>
              <w:pStyle w:val="6"/>
              <w:adjustRightInd w:val="0"/>
              <w:snapToGrid w:val="0"/>
              <w:jc w:val="center"/>
              <w:rPr>
                <w:rFonts w:hint="default" w:hAnsi="宋体" w:eastAsia="宋体" w:cs="宋体"/>
                <w:b w:val="0"/>
                <w:bCs w:val="0"/>
                <w:color w:val="auto"/>
                <w:sz w:val="24"/>
                <w:szCs w:val="24"/>
                <w:lang w:val="en-US" w:eastAsia="zh-CN"/>
              </w:rPr>
            </w:pPr>
            <w:r>
              <w:rPr>
                <w:rFonts w:hint="eastAsia" w:hAnsi="宋体" w:cs="宋体"/>
                <w:bCs/>
                <w:sz w:val="24"/>
                <w:szCs w:val="24"/>
                <w:lang w:val="en-US" w:eastAsia="zh-CN"/>
              </w:rPr>
              <w:t>125</w:t>
            </w:r>
          </w:p>
        </w:tc>
        <w:tc>
          <w:tcPr>
            <w:tcW w:w="857" w:type="dxa"/>
            <w:tcBorders>
              <w:top w:val="single" w:color="auto" w:sz="4" w:space="0"/>
              <w:left w:val="single" w:color="auto" w:sz="4" w:space="0"/>
              <w:right w:val="single" w:color="auto" w:sz="4" w:space="0"/>
            </w:tcBorders>
            <w:vAlign w:val="center"/>
          </w:tcPr>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平</w:t>
            </w:r>
          </w:p>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方</w:t>
            </w:r>
          </w:p>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米</w:t>
            </w:r>
          </w:p>
        </w:tc>
        <w:tc>
          <w:tcPr>
            <w:tcW w:w="2933" w:type="dxa"/>
            <w:tcBorders>
              <w:top w:val="single" w:color="auto" w:sz="4" w:space="0"/>
              <w:left w:val="single" w:color="auto" w:sz="4" w:space="0"/>
              <w:right w:val="single" w:color="auto" w:sz="4" w:space="0"/>
            </w:tcBorders>
            <w:vAlign w:val="center"/>
          </w:tcPr>
          <w:p>
            <w:pPr>
              <w:pStyle w:val="19"/>
              <w:adjustRightInd w:val="0"/>
              <w:snapToGrid w:val="0"/>
              <w:ind w:firstLine="520" w:firstLineChars="200"/>
              <w:rPr>
                <w:rFonts w:hint="eastAsia"/>
                <w:b w:val="0"/>
                <w:bCs w:val="0"/>
                <w:color w:val="auto"/>
                <w:lang w:val="en-US" w:eastAsia="zh-CN"/>
              </w:rPr>
            </w:pPr>
            <w:r>
              <w:rPr>
                <w:rFonts w:hint="eastAsia"/>
                <w:b w:val="0"/>
                <w:bCs w:val="0"/>
                <w:color w:val="auto"/>
                <w:lang w:val="en-US" w:eastAsia="zh-CN"/>
              </w:rPr>
              <w:t>根据库房空间面积，可设计双柱双面6层档案存储架5组一列10列一个团体。</w:t>
            </w:r>
          </w:p>
          <w:p>
            <w:pPr>
              <w:adjustRightInd w:val="0"/>
              <w:snapToGrid w:val="0"/>
              <w:rPr>
                <w:rFonts w:hint="eastAsia"/>
                <w:b w:val="0"/>
                <w:bCs w:val="0"/>
                <w:color w:val="auto"/>
                <w:lang w:val="en-US" w:eastAsia="zh-CN"/>
              </w:rPr>
            </w:pPr>
            <w:r>
              <w:rPr>
                <w:rFonts w:hint="eastAsia"/>
                <w:b w:val="0"/>
                <w:bCs w:val="0"/>
                <w:color w:val="auto"/>
                <w:lang w:val="en-US" w:eastAsia="zh-CN"/>
              </w:rPr>
              <w:t>1、六层密集架，</w:t>
            </w:r>
          </w:p>
          <w:p>
            <w:pPr>
              <w:adjustRightInd w:val="0"/>
              <w:snapToGrid w:val="0"/>
              <w:rPr>
                <w:rFonts w:hint="eastAsia"/>
                <w:b w:val="0"/>
                <w:bCs w:val="0"/>
                <w:color w:val="auto"/>
                <w:lang w:val="en-US" w:eastAsia="zh-CN"/>
              </w:rPr>
            </w:pPr>
            <w:r>
              <w:rPr>
                <w:rFonts w:hint="eastAsia"/>
                <w:b w:val="0"/>
                <w:bCs w:val="0"/>
                <w:color w:val="auto"/>
                <w:lang w:val="en-US" w:eastAsia="zh-CN"/>
              </w:rPr>
              <w:t>2、规格（高2500×长5000×深580mm）/列，按实际场地列数组合6组/列，计10列每组标配6层，双面存放档案，层板活动高低可调。</w:t>
            </w:r>
          </w:p>
          <w:p>
            <w:pPr>
              <w:adjustRightInd w:val="0"/>
              <w:snapToGrid w:val="0"/>
              <w:rPr>
                <w:rFonts w:hint="eastAsia"/>
                <w:b w:val="0"/>
                <w:bCs w:val="0"/>
                <w:color w:val="auto"/>
                <w:lang w:val="en-US" w:eastAsia="zh-CN"/>
              </w:rPr>
            </w:pPr>
            <w:r>
              <w:rPr>
                <w:rFonts w:hint="eastAsia"/>
                <w:b w:val="0"/>
                <w:bCs w:val="0"/>
                <w:color w:val="auto"/>
                <w:lang w:val="en-US" w:eastAsia="zh-CN"/>
              </w:rPr>
              <w:t>3、材料厚度：</w:t>
            </w:r>
          </w:p>
          <w:p>
            <w:pPr>
              <w:adjustRightInd w:val="0"/>
              <w:snapToGrid w:val="0"/>
              <w:rPr>
                <w:rFonts w:hint="default"/>
                <w:b w:val="0"/>
                <w:bCs w:val="0"/>
                <w:color w:val="auto"/>
                <w:lang w:val="en-US" w:eastAsia="zh-CN"/>
              </w:rPr>
            </w:pPr>
            <w:r>
              <w:rPr>
                <w:rFonts w:hint="eastAsia"/>
                <w:b w:val="0"/>
                <w:bCs w:val="0"/>
                <w:color w:val="auto"/>
                <w:lang w:val="en-US" w:eastAsia="zh-CN"/>
              </w:rPr>
              <w:t>立柱1.5mm ；层板1.2 mm ；挂板1.0mm ；侧板1.0 mm ；面门1.0 m ：底盘3.0 mm ；4.三根组合式轨道实心导轨20×20mm  304不锈钢方钢。轨道座3.0mm铝合金。</w:t>
            </w:r>
          </w:p>
          <w:p>
            <w:pPr>
              <w:numPr>
                <w:ilvl w:val="0"/>
                <w:numId w:val="0"/>
              </w:numPr>
              <w:adjustRightInd w:val="0"/>
              <w:snapToGrid w:val="0"/>
              <w:rPr>
                <w:rFonts w:hint="eastAsia"/>
                <w:b w:val="0"/>
                <w:bCs w:val="0"/>
                <w:color w:val="auto"/>
                <w:lang w:val="en-US" w:eastAsia="zh-CN"/>
              </w:rPr>
            </w:pPr>
            <w:r>
              <w:rPr>
                <w:rFonts w:hint="eastAsia"/>
                <w:b w:val="0"/>
                <w:bCs w:val="0"/>
                <w:color w:val="auto"/>
                <w:lang w:val="en-US" w:eastAsia="zh-CN"/>
              </w:rPr>
              <w:t>5.材质要求：产品金属架体、板材及配件均应选用优质大型企业生产的优质冷轧钢材。</w:t>
            </w:r>
          </w:p>
          <w:p>
            <w:pPr>
              <w:pStyle w:val="12"/>
              <w:numPr>
                <w:ilvl w:val="0"/>
                <w:numId w:val="0"/>
              </w:numPr>
              <w:rPr>
                <w:rFonts w:hint="default"/>
                <w:b w:val="0"/>
                <w:bCs w:val="0"/>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6.含书车书梯各一辆</w:t>
            </w:r>
          </w:p>
        </w:tc>
        <w:tc>
          <w:tcPr>
            <w:tcW w:w="1145" w:type="dxa"/>
            <w:tcBorders>
              <w:top w:val="single" w:color="auto" w:sz="4" w:space="0"/>
              <w:left w:val="single" w:color="auto" w:sz="4" w:space="0"/>
              <w:right w:val="single" w:color="auto" w:sz="4" w:space="0"/>
            </w:tcBorders>
            <w:vAlign w:val="center"/>
          </w:tcPr>
          <w:p>
            <w:pPr>
              <w:pStyle w:val="12"/>
              <w:rPr>
                <w:rFonts w:hint="default" w:hAnsi="宋体" w:cs="宋体"/>
                <w:b w:val="0"/>
                <w:bCs w:val="0"/>
                <w:color w:val="auto"/>
                <w:sz w:val="24"/>
                <w:szCs w:val="24"/>
                <w:lang w:val="en-US" w:eastAsia="zh-CN"/>
              </w:rPr>
            </w:pPr>
          </w:p>
        </w:tc>
        <w:tc>
          <w:tcPr>
            <w:tcW w:w="1135" w:type="dxa"/>
            <w:tcBorders>
              <w:top w:val="single" w:color="auto" w:sz="4" w:space="0"/>
              <w:left w:val="single" w:color="auto" w:sz="4" w:space="0"/>
              <w:right w:val="single" w:color="auto" w:sz="4" w:space="0"/>
            </w:tcBorders>
            <w:vAlign w:val="center"/>
          </w:tcPr>
          <w:p>
            <w:pPr>
              <w:pStyle w:val="12"/>
              <w:rPr>
                <w:rFonts w:hint="eastAsia" w:hAnsi="宋体" w:cs="宋体"/>
                <w:b w:val="0"/>
                <w:bCs w:val="0"/>
                <w:color w:val="auto"/>
                <w:sz w:val="24"/>
                <w:szCs w:val="24"/>
                <w:u w:val="single"/>
              </w:rPr>
            </w:pPr>
          </w:p>
          <w:p>
            <w:pPr>
              <w:pStyle w:val="12"/>
              <w:rPr>
                <w:rFonts w:hint="eastAsia" w:hAnsi="宋体" w:cs="宋体"/>
                <w:b w:val="0"/>
                <w:bCs w:val="0"/>
                <w:color w:val="auto"/>
                <w:sz w:val="24"/>
                <w:szCs w:val="24"/>
                <w:u w:val="single"/>
              </w:rPr>
            </w:pPr>
          </w:p>
          <w:p>
            <w:pPr>
              <w:pStyle w:val="12"/>
              <w:rPr>
                <w:rFonts w:hint="eastAsia" w:hAnsi="宋体" w:cs="宋体"/>
                <w:b w:val="0"/>
                <w:bCs w:val="0"/>
                <w:color w:val="auto"/>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pacing w:val="-6"/>
                <w:sz w:val="24"/>
                <w:szCs w:val="24"/>
              </w:rPr>
            </w:pPr>
            <w:r>
              <w:rPr>
                <w:rFonts w:hint="eastAsia" w:hAnsi="宋体" w:cs="宋体"/>
                <w:b w:val="0"/>
                <w:bCs w:val="0"/>
                <w:color w:val="auto"/>
                <w:spacing w:val="-6"/>
                <w:sz w:val="24"/>
                <w:szCs w:val="24"/>
              </w:rPr>
              <w:t>免费保修</w:t>
            </w:r>
            <w:r>
              <w:rPr>
                <w:rFonts w:hint="eastAsia" w:hAnsi="宋体" w:cs="宋体"/>
                <w:b w:val="0"/>
                <w:bCs w:val="0"/>
                <w:color w:val="auto"/>
                <w:spacing w:val="-6"/>
                <w:sz w:val="24"/>
                <w:szCs w:val="24"/>
                <w:lang w:eastAsia="zh-CN"/>
              </w:rPr>
              <w:t>五</w:t>
            </w:r>
            <w:r>
              <w:rPr>
                <w:rFonts w:hint="eastAsia" w:hAnsi="宋体" w:cs="宋体"/>
                <w:b w:val="0"/>
                <w:bCs w:val="0"/>
                <w:color w:val="auto"/>
                <w:spacing w:val="-6"/>
                <w:sz w:val="24"/>
                <w:szCs w:val="24"/>
              </w:rPr>
              <w:t>年</w:t>
            </w:r>
          </w:p>
        </w:tc>
      </w:tr>
    </w:tbl>
    <w:p>
      <w:pPr>
        <w:widowControl/>
        <w:jc w:val="left"/>
        <w:rPr>
          <w:rFonts w:hint="eastAsia" w:ascii="宋体" w:hAnsi="宋体" w:eastAsia="宋体" w:cs="宋体"/>
          <w:kern w:val="0"/>
          <w:sz w:val="20"/>
          <w:szCs w:val="20"/>
        </w:rPr>
      </w:pPr>
    </w:p>
    <w:p>
      <w:pPr>
        <w:adjustRightInd w:val="0"/>
        <w:snapToGrid w:val="0"/>
        <w:rPr>
          <w:rFonts w:hint="eastAsia"/>
          <w:lang w:val="en-US" w:eastAsia="zh-CN"/>
        </w:rPr>
      </w:pPr>
      <w:r>
        <w:rPr>
          <w:rFonts w:hint="eastAsia"/>
          <w:lang w:val="en-US" w:eastAsia="zh-CN"/>
        </w:rPr>
        <w:t>注：报价为含税价，开具增值税13%专票</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供应商名称（章）：</w:t>
      </w:r>
    </w:p>
    <w:p>
      <w:pPr>
        <w:adjustRightInd w:val="0"/>
        <w:snapToGrid w:val="0"/>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adjustRightInd w:val="0"/>
        <w:snapToGrid w:val="0"/>
        <w:rPr>
          <w:rFonts w:hint="eastAsia"/>
          <w:lang w:val="en-US" w:eastAsia="zh-CN"/>
        </w:rPr>
      </w:pPr>
      <w:r>
        <w:rPr>
          <w:rFonts w:hint="eastAsia"/>
          <w:lang w:val="en-US" w:eastAsia="zh-CN"/>
        </w:rPr>
        <w:t xml:space="preserve">法定代表人或授权的代理人（签章） ：      </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报价日期：</w:t>
      </w:r>
    </w:p>
    <w:p>
      <w:pPr>
        <w:adjustRightInd w:val="0"/>
        <w:snapToGrid w:val="0"/>
        <w:rPr>
          <w:rFonts w:hint="eastAsia"/>
          <w:lang w:val="en-US" w:eastAsia="zh-CN"/>
        </w:rPr>
      </w:pPr>
      <w:r>
        <w:rPr>
          <w:rFonts w:hint="eastAsia"/>
          <w:lang w:val="en-US" w:eastAsia="zh-CN"/>
        </w:rPr>
        <w:t xml:space="preserve">                    </w:t>
      </w:r>
    </w:p>
    <w:p>
      <w:pPr>
        <w:adjustRightInd w:val="0"/>
        <w:snapToGrid w:val="0"/>
        <w:rPr>
          <w:rFonts w:hint="eastAsia"/>
          <w:lang w:val="zh-CN" w:eastAsia="zh-CN"/>
        </w:rPr>
      </w:pPr>
    </w:p>
    <w:p>
      <w:pPr>
        <w:adjustRightInd w:val="0"/>
        <w:snapToGrid w:val="0"/>
        <w:rPr>
          <w:rFonts w:hint="eastAsia"/>
          <w:lang w:val="en-US" w:eastAsia="zh-CN"/>
        </w:rPr>
      </w:pPr>
      <w:r>
        <w:rPr>
          <w:rFonts w:hint="eastAsia"/>
          <w:lang w:val="en-US" w:eastAsia="zh-CN"/>
        </w:rPr>
        <w:t>(请按照表格要求进行填写，在供应商名称处盖公章。)</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8622893"/>
    <w:multiLevelType w:val="singleLevel"/>
    <w:tmpl w:val="08622893"/>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YTRjMDg4NTg2OTMzNzU5MTY0ODcyZjAzYzlkZTMifQ=="/>
  </w:docVars>
  <w:rsids>
    <w:rsidRoot w:val="00377E77"/>
    <w:rsid w:val="00080E82"/>
    <w:rsid w:val="00286F24"/>
    <w:rsid w:val="00295BA7"/>
    <w:rsid w:val="00377E77"/>
    <w:rsid w:val="003B76EC"/>
    <w:rsid w:val="0052334A"/>
    <w:rsid w:val="00544AAF"/>
    <w:rsid w:val="00597EC8"/>
    <w:rsid w:val="006226B5"/>
    <w:rsid w:val="006A5CDE"/>
    <w:rsid w:val="006B4864"/>
    <w:rsid w:val="0083536D"/>
    <w:rsid w:val="008374CD"/>
    <w:rsid w:val="008B0AC4"/>
    <w:rsid w:val="00953FA3"/>
    <w:rsid w:val="009603D8"/>
    <w:rsid w:val="00CA21A2"/>
    <w:rsid w:val="00D20F5D"/>
    <w:rsid w:val="00D27823"/>
    <w:rsid w:val="00D91B2E"/>
    <w:rsid w:val="00E46B90"/>
    <w:rsid w:val="00F20589"/>
    <w:rsid w:val="04A4024E"/>
    <w:rsid w:val="07574736"/>
    <w:rsid w:val="0957698D"/>
    <w:rsid w:val="0C2639B5"/>
    <w:rsid w:val="118E286E"/>
    <w:rsid w:val="130D010A"/>
    <w:rsid w:val="14516A37"/>
    <w:rsid w:val="14C602DB"/>
    <w:rsid w:val="14F51E1D"/>
    <w:rsid w:val="189C4D3A"/>
    <w:rsid w:val="19BC275F"/>
    <w:rsid w:val="1A6D4B8A"/>
    <w:rsid w:val="1AAA29E0"/>
    <w:rsid w:val="1C735BE1"/>
    <w:rsid w:val="1F861028"/>
    <w:rsid w:val="216D5F5C"/>
    <w:rsid w:val="231625B2"/>
    <w:rsid w:val="250C37A3"/>
    <w:rsid w:val="290E5506"/>
    <w:rsid w:val="2B8F6A94"/>
    <w:rsid w:val="2BAC2952"/>
    <w:rsid w:val="2D0B7011"/>
    <w:rsid w:val="34386E63"/>
    <w:rsid w:val="35C44201"/>
    <w:rsid w:val="3D7E37F9"/>
    <w:rsid w:val="40091F67"/>
    <w:rsid w:val="41D177C9"/>
    <w:rsid w:val="43F71712"/>
    <w:rsid w:val="47197C97"/>
    <w:rsid w:val="49007C8C"/>
    <w:rsid w:val="4AC62A9D"/>
    <w:rsid w:val="4B39244D"/>
    <w:rsid w:val="4D573446"/>
    <w:rsid w:val="4EC56875"/>
    <w:rsid w:val="4FE0147F"/>
    <w:rsid w:val="585050BF"/>
    <w:rsid w:val="58D033F2"/>
    <w:rsid w:val="5B0171D9"/>
    <w:rsid w:val="5B881C80"/>
    <w:rsid w:val="6429099E"/>
    <w:rsid w:val="654A79CF"/>
    <w:rsid w:val="67D8638F"/>
    <w:rsid w:val="6898128A"/>
    <w:rsid w:val="68E71897"/>
    <w:rsid w:val="6DBE774E"/>
    <w:rsid w:val="6DE61751"/>
    <w:rsid w:val="70005BAF"/>
    <w:rsid w:val="70D078E2"/>
    <w:rsid w:val="71852CD8"/>
    <w:rsid w:val="72B752D3"/>
    <w:rsid w:val="7681029B"/>
    <w:rsid w:val="78077A4A"/>
    <w:rsid w:val="7B6479D0"/>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ind w:firstLine="420"/>
    </w:pPr>
    <w:rPr>
      <w:szCs w:val="20"/>
    </w:rPr>
  </w:style>
  <w:style w:type="paragraph" w:styleId="6">
    <w:name w:val="Plain Text"/>
    <w:basedOn w:val="1"/>
    <w:next w:val="1"/>
    <w:qFormat/>
    <w:uiPriority w:val="0"/>
    <w:rPr>
      <w:rFonts w:ascii="宋体" w:eastAsia="宋体" w:cs="Courier New"/>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字符"/>
    <w:basedOn w:val="11"/>
    <w:link w:val="2"/>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p16"/>
    <w:qFormat/>
    <w:uiPriority w:val="0"/>
    <w:pPr>
      <w:jc w:val="both"/>
    </w:pPr>
    <w:rPr>
      <w:rFonts w:ascii="宋体" w:hAnsi="宋体" w:eastAsia="宋体" w:cs="宋体"/>
      <w:color w:val="000000"/>
      <w:lang w:val="en-US" w:eastAsia="zh-CN" w:bidi="ar-SA"/>
    </w:rPr>
  </w:style>
  <w:style w:type="paragraph" w:customStyle="1" w:styleId="17">
    <w:name w:val="Table Paragraph"/>
    <w:basedOn w:val="1"/>
    <w:qFormat/>
    <w:uiPriority w:val="1"/>
  </w:style>
  <w:style w:type="paragraph" w:customStyle="1" w:styleId="18">
    <w:name w:val="正文_0"/>
    <w:qFormat/>
    <w:uiPriority w:val="0"/>
    <w:rPr>
      <w:rFonts w:ascii="Times New Roman" w:hAnsi="Times New Roman" w:eastAsiaTheme="minorEastAsia" w:cstheme="minorBidi"/>
      <w:sz w:val="21"/>
      <w:szCs w:val="22"/>
      <w:lang w:val="en-US" w:eastAsia="zh-CN" w:bidi="ar-SA"/>
    </w:rPr>
  </w:style>
  <w:style w:type="paragraph" w:customStyle="1" w:styleId="19">
    <w:name w:val="表格文字115"/>
    <w:basedOn w:val="1"/>
    <w:qFormat/>
    <w:uiPriority w:val="0"/>
    <w:rPr>
      <w:bCs/>
      <w:spacing w:val="10"/>
      <w:kern w:val="0"/>
      <w:sz w:val="24"/>
    </w:rPr>
  </w:style>
  <w:style w:type="paragraph" w:customStyle="1" w:styleId="20">
    <w:name w:val="p0"/>
    <w:basedOn w:val="1"/>
    <w:qFormat/>
    <w:uiPriority w:val="0"/>
    <w:pPr>
      <w:widowControl/>
    </w:pPr>
    <w:rPr>
      <w:kern w:val="0"/>
      <w:szCs w:val="21"/>
    </w:rPr>
  </w:style>
  <w:style w:type="character" w:customStyle="1" w:styleId="21">
    <w:name w:val="apple-converted-space"/>
    <w:basedOn w:val="11"/>
    <w:qFormat/>
    <w:uiPriority w:val="0"/>
  </w:style>
  <w:style w:type="paragraph" w:customStyle="1" w:styleId="22">
    <w:name w:val="默认段落字体 Para Char Char Char Char Char Char Char"/>
    <w:basedOn w:val="1"/>
    <w:qFormat/>
    <w:uiPriority w:val="0"/>
    <w:pPr>
      <w:adjustRightInd w:val="0"/>
      <w:spacing w:line="360" w:lineRule="auto"/>
    </w:pPr>
  </w:style>
  <w:style w:type="paragraph" w:customStyle="1" w:styleId="23">
    <w:name w:val="首行缩进"/>
    <w:basedOn w:val="1"/>
    <w:qFormat/>
    <w:uiPriority w:val="0"/>
    <w:pPr>
      <w:ind w:firstLine="480" w:firstLineChars="200"/>
    </w:pPr>
    <w:rPr>
      <w:szCs w:val="20"/>
    </w:rPr>
  </w:style>
  <w:style w:type="paragraph" w:styleId="24">
    <w:name w:val="No Spacing"/>
    <w:qFormat/>
    <w:uiPriority w:val="1"/>
    <w:pPr>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9692</Words>
  <Characters>10680</Characters>
  <Lines>54</Lines>
  <Paragraphs>15</Paragraphs>
  <TotalTime>1</TotalTime>
  <ScaleCrop>false</ScaleCrop>
  <LinksUpToDate>false</LinksUpToDate>
  <CharactersWithSpaces>11073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行货手机专卖-曾</cp:lastModifiedBy>
  <dcterms:modified xsi:type="dcterms:W3CDTF">2023-05-26T08:16:05Z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7464563F4F104D278418BD51B7086A62_13</vt:lpwstr>
  </property>
</Properties>
</file>